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00D62" w14:textId="77777777" w:rsidR="004F0A07" w:rsidRDefault="00B21CF1" w:rsidP="00DB445E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="Arial"/>
          <w:b/>
          <w:sz w:val="32"/>
          <w:szCs w:val="32"/>
          <w:lang w:val="it-IT" w:eastAsia="it-IT"/>
        </w:rPr>
      </w:pPr>
      <w:r>
        <w:rPr>
          <w:rFonts w:asciiTheme="minorHAnsi" w:hAnsiTheme="minorHAnsi" w:cs="Arial"/>
          <w:b/>
          <w:sz w:val="32"/>
          <w:szCs w:val="32"/>
          <w:lang w:val="it-IT" w:eastAsia="it-IT"/>
        </w:rPr>
        <w:t>Suggestioni in Doghe Prefa per un complesso residenziale a Padova</w:t>
      </w:r>
    </w:p>
    <w:p w14:paraId="622E47C2" w14:textId="77777777" w:rsidR="004C11A8" w:rsidRPr="004C11A8" w:rsidRDefault="00B21CF1" w:rsidP="002946CB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  <w:lang w:val="it-IT"/>
        </w:rPr>
      </w:pPr>
      <w:r>
        <w:rPr>
          <w:rFonts w:asciiTheme="minorHAnsi" w:hAnsiTheme="minorHAnsi" w:cs="Arial"/>
          <w:b/>
          <w:bCs/>
          <w:i/>
          <w:color w:val="000000"/>
          <w:sz w:val="22"/>
          <w:szCs w:val="22"/>
          <w:lang w:val="it-IT"/>
        </w:rPr>
        <w:t xml:space="preserve">I rivestimenti PREFA si fanno notare </w:t>
      </w:r>
      <w:r w:rsidR="0008408D">
        <w:rPr>
          <w:rFonts w:asciiTheme="minorHAnsi" w:hAnsiTheme="minorHAnsi" w:cs="Arial"/>
          <w:b/>
          <w:bCs/>
          <w:i/>
          <w:color w:val="000000"/>
          <w:sz w:val="22"/>
          <w:szCs w:val="22"/>
          <w:lang w:val="it-IT"/>
        </w:rPr>
        <w:t xml:space="preserve">per la </w:t>
      </w:r>
      <w:r>
        <w:rPr>
          <w:rFonts w:asciiTheme="minorHAnsi" w:hAnsiTheme="minorHAnsi" w:cs="Arial"/>
          <w:b/>
          <w:bCs/>
          <w:i/>
          <w:color w:val="000000"/>
          <w:sz w:val="22"/>
          <w:szCs w:val="22"/>
          <w:lang w:val="it-IT"/>
        </w:rPr>
        <w:t xml:space="preserve">loro resistenza e </w:t>
      </w:r>
      <w:r w:rsidR="002B7F1D">
        <w:rPr>
          <w:rFonts w:asciiTheme="minorHAnsi" w:hAnsiTheme="minorHAnsi" w:cs="Arial"/>
          <w:b/>
          <w:bCs/>
          <w:i/>
          <w:color w:val="000000"/>
          <w:sz w:val="22"/>
          <w:szCs w:val="22"/>
          <w:lang w:val="it-IT"/>
        </w:rPr>
        <w:t>affidabilità</w:t>
      </w:r>
      <w:r>
        <w:rPr>
          <w:rFonts w:asciiTheme="minorHAnsi" w:hAnsiTheme="minorHAnsi" w:cs="Arial"/>
          <w:b/>
          <w:bCs/>
          <w:i/>
          <w:color w:val="000000"/>
          <w:sz w:val="22"/>
          <w:szCs w:val="22"/>
          <w:lang w:val="it-IT"/>
        </w:rPr>
        <w:t>, senza rinunciare a ricercati tocchi di eleganza.</w:t>
      </w:r>
    </w:p>
    <w:p w14:paraId="2483D18B" w14:textId="77777777" w:rsidR="00DB445E" w:rsidRPr="00DB445E" w:rsidRDefault="00DB445E" w:rsidP="00DB445E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  <w:lang w:val="it-IT"/>
        </w:rPr>
      </w:pPr>
    </w:p>
    <w:p w14:paraId="700A82D5" w14:textId="77777777" w:rsidR="002946CB" w:rsidRPr="005B45CA" w:rsidRDefault="00B21CF1" w:rsidP="005B45CA">
      <w:pPr>
        <w:tabs>
          <w:tab w:val="left" w:pos="284"/>
        </w:tabs>
        <w:spacing w:before="120" w:line="276" w:lineRule="auto"/>
        <w:ind w:left="284"/>
        <w:jc w:val="both"/>
        <w:rPr>
          <w:rFonts w:asciiTheme="minorHAnsi" w:hAnsiTheme="minorHAnsi" w:cs="Arial"/>
          <w:b/>
          <w:color w:val="C00000"/>
          <w:sz w:val="22"/>
          <w:szCs w:val="22"/>
          <w:lang w:val="it-IT"/>
        </w:rPr>
      </w:pPr>
      <w:r>
        <w:rPr>
          <w:rFonts w:asciiTheme="minorHAnsi" w:hAnsiTheme="minorHAnsi" w:cs="Arial"/>
          <w:b/>
          <w:color w:val="C00000"/>
          <w:sz w:val="22"/>
          <w:szCs w:val="22"/>
          <w:lang w:val="it-IT"/>
        </w:rPr>
        <w:t>Linearità è la parola d’</w:t>
      </w:r>
      <w:r w:rsidR="00630A1D">
        <w:rPr>
          <w:rFonts w:asciiTheme="minorHAnsi" w:hAnsiTheme="minorHAnsi" w:cs="Arial"/>
          <w:b/>
          <w:color w:val="C00000"/>
          <w:sz w:val="22"/>
          <w:szCs w:val="22"/>
          <w:lang w:val="it-IT"/>
        </w:rPr>
        <w:t>or</w:t>
      </w:r>
      <w:r>
        <w:rPr>
          <w:rFonts w:asciiTheme="minorHAnsi" w:hAnsiTheme="minorHAnsi" w:cs="Arial"/>
          <w:b/>
          <w:color w:val="C00000"/>
          <w:sz w:val="22"/>
          <w:szCs w:val="22"/>
          <w:lang w:val="it-IT"/>
        </w:rPr>
        <w:t>dine</w:t>
      </w:r>
    </w:p>
    <w:p w14:paraId="5E4A0E34" w14:textId="77777777" w:rsidR="000D6009" w:rsidRDefault="00A4617D" w:rsidP="000E0433">
      <w:pPr>
        <w:tabs>
          <w:tab w:val="left" w:pos="284"/>
        </w:tabs>
        <w:spacing w:before="120" w:line="276" w:lineRule="auto"/>
        <w:ind w:left="284"/>
        <w:jc w:val="both"/>
        <w:rPr>
          <w:rFonts w:asciiTheme="minorHAnsi" w:hAnsiTheme="minorHAnsi" w:cs="Arial"/>
          <w:sz w:val="22"/>
          <w:szCs w:val="22"/>
          <w:lang w:val="it-IT"/>
        </w:rPr>
      </w:pPr>
      <w:r>
        <w:rPr>
          <w:rFonts w:asciiTheme="minorHAnsi" w:hAnsiTheme="minorHAnsi" w:cs="Arial"/>
          <w:sz w:val="22"/>
          <w:szCs w:val="22"/>
          <w:lang w:val="it-IT"/>
        </w:rPr>
        <w:t>I quattro edifici del complesso residenziale realizzato a Padova</w:t>
      </w:r>
      <w:r w:rsidR="00C56963">
        <w:rPr>
          <w:rFonts w:asciiTheme="minorHAnsi" w:hAnsiTheme="minorHAnsi" w:cs="Arial"/>
          <w:sz w:val="22"/>
          <w:szCs w:val="22"/>
          <w:lang w:val="it-IT"/>
        </w:rPr>
        <w:t xml:space="preserve"> sono disposti in maniera ordinata intorno ad un</w:t>
      </w:r>
      <w:r w:rsidR="00C15B8D">
        <w:rPr>
          <w:rFonts w:asciiTheme="minorHAnsi" w:hAnsiTheme="minorHAnsi" w:cs="Arial"/>
          <w:sz w:val="22"/>
          <w:szCs w:val="22"/>
          <w:lang w:val="it-IT"/>
        </w:rPr>
        <w:t>a</w:t>
      </w:r>
      <w:r w:rsidR="00C56963">
        <w:rPr>
          <w:rFonts w:asciiTheme="minorHAnsi" w:hAnsiTheme="minorHAnsi" w:cs="Arial"/>
          <w:sz w:val="22"/>
          <w:szCs w:val="22"/>
          <w:lang w:val="it-IT"/>
        </w:rPr>
        <w:t xml:space="preserve"> grande </w:t>
      </w:r>
      <w:r w:rsidR="00C15B8D">
        <w:rPr>
          <w:rFonts w:asciiTheme="minorHAnsi" w:hAnsiTheme="minorHAnsi" w:cs="Arial"/>
          <w:sz w:val="22"/>
          <w:szCs w:val="22"/>
          <w:lang w:val="it-IT"/>
        </w:rPr>
        <w:t>piazza</w:t>
      </w:r>
      <w:r w:rsidR="00C56963">
        <w:rPr>
          <w:rFonts w:asciiTheme="minorHAnsi" w:hAnsiTheme="minorHAnsi" w:cs="Arial"/>
          <w:sz w:val="22"/>
          <w:szCs w:val="22"/>
          <w:lang w:val="it-IT"/>
        </w:rPr>
        <w:t xml:space="preserve"> verde, che dona un accento naturale e arioso allo </w:t>
      </w:r>
      <w:r w:rsidR="00C15B8D">
        <w:rPr>
          <w:rFonts w:asciiTheme="minorHAnsi" w:hAnsiTheme="minorHAnsi" w:cs="Arial"/>
          <w:sz w:val="22"/>
          <w:szCs w:val="22"/>
          <w:lang w:val="it-IT"/>
        </w:rPr>
        <w:t xml:space="preserve">spazio urbano. I </w:t>
      </w:r>
      <w:r w:rsidR="0008408D">
        <w:rPr>
          <w:rFonts w:asciiTheme="minorHAnsi" w:hAnsiTheme="minorHAnsi" w:cs="Arial"/>
          <w:sz w:val="22"/>
          <w:szCs w:val="22"/>
          <w:lang w:val="it-IT"/>
        </w:rPr>
        <w:t>corpi costruttivi</w:t>
      </w:r>
      <w:r w:rsidR="00C15B8D">
        <w:rPr>
          <w:rFonts w:asciiTheme="minorHAnsi" w:hAnsiTheme="minorHAnsi" w:cs="Arial"/>
          <w:sz w:val="22"/>
          <w:szCs w:val="22"/>
          <w:lang w:val="it-IT"/>
        </w:rPr>
        <w:t>, dalle forme architett</w:t>
      </w:r>
      <w:r w:rsidR="0008408D">
        <w:rPr>
          <w:rFonts w:asciiTheme="minorHAnsi" w:hAnsiTheme="minorHAnsi" w:cs="Arial"/>
          <w:sz w:val="22"/>
          <w:szCs w:val="22"/>
          <w:lang w:val="it-IT"/>
        </w:rPr>
        <w:t>oniche</w:t>
      </w:r>
      <w:r w:rsidR="00C15B8D">
        <w:rPr>
          <w:rFonts w:asciiTheme="minorHAnsi" w:hAnsiTheme="minorHAnsi" w:cs="Arial"/>
          <w:sz w:val="22"/>
          <w:szCs w:val="22"/>
          <w:lang w:val="it-IT"/>
        </w:rPr>
        <w:t xml:space="preserve"> ampie e lineari, si elevano per 5 piani fuori terra. Il colore bianco </w:t>
      </w:r>
      <w:r w:rsidR="00A37CCA">
        <w:rPr>
          <w:rFonts w:asciiTheme="minorHAnsi" w:hAnsiTheme="minorHAnsi" w:cs="Arial"/>
          <w:sz w:val="22"/>
          <w:szCs w:val="22"/>
          <w:lang w:val="it-IT"/>
        </w:rPr>
        <w:t>panna che caratterizza le facciate e tutti gli elementi di chiusura come i parapetti dei balconi e le tapparelle, domina l’estetica dei palazzi, creando un’armonica dialettica con le tonalità nel marrone delle cortine avanzate che avvolgono i balconi</w:t>
      </w:r>
      <w:r w:rsidR="0008408D">
        <w:rPr>
          <w:rFonts w:asciiTheme="minorHAnsi" w:hAnsiTheme="minorHAnsi" w:cs="Arial"/>
          <w:sz w:val="22"/>
          <w:szCs w:val="22"/>
          <w:lang w:val="it-IT"/>
        </w:rPr>
        <w:t>.</w:t>
      </w:r>
      <w:r w:rsidR="00A37CCA"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r w:rsidR="0008408D">
        <w:rPr>
          <w:rFonts w:asciiTheme="minorHAnsi" w:hAnsiTheme="minorHAnsi" w:cs="Arial"/>
          <w:sz w:val="22"/>
          <w:szCs w:val="22"/>
          <w:lang w:val="it-IT"/>
        </w:rPr>
        <w:t>La configurazione formale di tali elementi disegna</w:t>
      </w:r>
      <w:r w:rsidR="00A37CCA">
        <w:rPr>
          <w:rFonts w:asciiTheme="minorHAnsi" w:hAnsiTheme="minorHAnsi" w:cs="Arial"/>
          <w:sz w:val="22"/>
          <w:szCs w:val="22"/>
          <w:lang w:val="it-IT"/>
        </w:rPr>
        <w:t xml:space="preserve"> sofisticate dicotomie di vuoti e pieni sulle facciate.</w:t>
      </w:r>
    </w:p>
    <w:p w14:paraId="7A100A22" w14:textId="35D35558" w:rsidR="00C56963" w:rsidRPr="001314DF" w:rsidRDefault="00A37CCA" w:rsidP="001314DF">
      <w:pPr>
        <w:tabs>
          <w:tab w:val="left" w:pos="284"/>
        </w:tabs>
        <w:spacing w:before="120" w:line="276" w:lineRule="auto"/>
        <w:ind w:left="284"/>
        <w:jc w:val="both"/>
        <w:rPr>
          <w:rFonts w:asciiTheme="minorHAnsi" w:hAnsiTheme="minorHAnsi" w:cs="Arial"/>
          <w:sz w:val="22"/>
          <w:szCs w:val="22"/>
          <w:lang w:val="it-IT"/>
        </w:rPr>
      </w:pPr>
      <w:r>
        <w:rPr>
          <w:rFonts w:asciiTheme="minorHAnsi" w:hAnsiTheme="minorHAnsi" w:cs="Arial"/>
          <w:sz w:val="22"/>
          <w:szCs w:val="22"/>
          <w:lang w:val="it-IT"/>
        </w:rPr>
        <w:t xml:space="preserve">Per il rivestimento di queste originali strutture sono state scelte le </w:t>
      </w:r>
      <w:r w:rsidRPr="0008408D">
        <w:rPr>
          <w:rFonts w:asciiTheme="minorHAnsi" w:hAnsiTheme="minorHAnsi" w:cs="Arial"/>
          <w:b/>
          <w:bCs/>
          <w:sz w:val="22"/>
          <w:szCs w:val="22"/>
          <w:lang w:val="it-IT"/>
        </w:rPr>
        <w:t>Doghe in alluminio PREFA</w:t>
      </w:r>
      <w:r>
        <w:rPr>
          <w:rFonts w:asciiTheme="minorHAnsi" w:hAnsiTheme="minorHAnsi" w:cs="Arial"/>
          <w:sz w:val="22"/>
          <w:szCs w:val="22"/>
          <w:lang w:val="it-IT"/>
        </w:rPr>
        <w:t xml:space="preserve">, selezionate per la loro perfetta planarità, robustezza e leggerezza. Una delle richieste architettoniche più stringenti è stata quella di realizzare un rivestimento privo di fissaggi a vista. Per raggiungere questo obiettivo, piuttosto impegnativo nel nodo </w:t>
      </w:r>
      <w:r w:rsidR="0008408D">
        <w:rPr>
          <w:rFonts w:asciiTheme="minorHAnsi" w:hAnsiTheme="minorHAnsi" w:cs="Arial"/>
          <w:sz w:val="22"/>
          <w:szCs w:val="22"/>
          <w:lang w:val="it-IT"/>
        </w:rPr>
        <w:t>delle</w:t>
      </w:r>
      <w:r w:rsidR="00630A1D"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r>
        <w:rPr>
          <w:rFonts w:asciiTheme="minorHAnsi" w:hAnsiTheme="minorHAnsi" w:cs="Arial"/>
          <w:sz w:val="22"/>
          <w:szCs w:val="22"/>
          <w:lang w:val="it-IT"/>
        </w:rPr>
        <w:t>imbotti, è stata necessaria tutta la maestria e l’esperienza dei maestri lattonieri della Monetti Group, a cui è stata affidata l’opera. Infatti</w:t>
      </w:r>
      <w:r w:rsidR="0008408D">
        <w:rPr>
          <w:rFonts w:asciiTheme="minorHAnsi" w:hAnsiTheme="minorHAnsi" w:cs="Arial"/>
          <w:sz w:val="22"/>
          <w:szCs w:val="22"/>
          <w:lang w:val="it-IT"/>
        </w:rPr>
        <w:t>,</w:t>
      </w:r>
      <w:r>
        <w:rPr>
          <w:rFonts w:asciiTheme="minorHAnsi" w:hAnsiTheme="minorHAnsi" w:cs="Arial"/>
          <w:sz w:val="22"/>
          <w:szCs w:val="22"/>
          <w:lang w:val="it-IT"/>
        </w:rPr>
        <w:t xml:space="preserve"> realizzare una lattoneria ad incastro, che risulti perfettamente planare, richiede uno sforzo di estrema precisione e ottima manualità</w:t>
      </w:r>
      <w:r w:rsidR="00D7281D">
        <w:rPr>
          <w:rFonts w:asciiTheme="minorHAnsi" w:hAnsiTheme="minorHAnsi" w:cs="Arial"/>
          <w:sz w:val="22"/>
          <w:szCs w:val="22"/>
          <w:lang w:val="it-IT"/>
        </w:rPr>
        <w:t>. Per velocizzare il lavoro in opera sui tagli e sulle giunzioni delle doghe PREFA</w:t>
      </w:r>
      <w:r w:rsidR="00624D41">
        <w:rPr>
          <w:rFonts w:asciiTheme="minorHAnsi" w:hAnsiTheme="minorHAnsi" w:cs="Arial"/>
          <w:sz w:val="22"/>
          <w:szCs w:val="22"/>
          <w:lang w:val="it-IT"/>
        </w:rPr>
        <w:t xml:space="preserve">, i </w:t>
      </w:r>
      <w:r w:rsidR="00624D41" w:rsidRPr="00624D41">
        <w:rPr>
          <w:rFonts w:asciiTheme="minorHAnsi" w:hAnsiTheme="minorHAnsi" w:cs="Arial"/>
          <w:sz w:val="22"/>
          <w:szCs w:val="22"/>
          <w:lang w:val="it-IT"/>
        </w:rPr>
        <w:t xml:space="preserve">lattonieri veneti della Monetti Group </w:t>
      </w:r>
      <w:r w:rsidR="00D7281D">
        <w:rPr>
          <w:rFonts w:asciiTheme="minorHAnsi" w:hAnsiTheme="minorHAnsi" w:cs="Arial"/>
          <w:sz w:val="22"/>
          <w:szCs w:val="22"/>
          <w:lang w:val="it-IT"/>
        </w:rPr>
        <w:t>ha</w:t>
      </w:r>
      <w:r w:rsidR="00624D41">
        <w:rPr>
          <w:rFonts w:asciiTheme="minorHAnsi" w:hAnsiTheme="minorHAnsi" w:cs="Arial"/>
          <w:sz w:val="22"/>
          <w:szCs w:val="22"/>
          <w:lang w:val="it-IT"/>
        </w:rPr>
        <w:t>nno</w:t>
      </w:r>
      <w:r w:rsidR="00D7281D">
        <w:rPr>
          <w:rFonts w:asciiTheme="minorHAnsi" w:hAnsiTheme="minorHAnsi" w:cs="Arial"/>
          <w:sz w:val="22"/>
          <w:szCs w:val="22"/>
          <w:lang w:val="it-IT"/>
        </w:rPr>
        <w:t xml:space="preserve"> messo a punto una </w:t>
      </w:r>
      <w:r w:rsidR="00112809" w:rsidRPr="00624D41">
        <w:rPr>
          <w:rFonts w:asciiTheme="minorHAnsi" w:hAnsiTheme="minorHAnsi" w:cs="Arial"/>
          <w:sz w:val="22"/>
          <w:szCs w:val="22"/>
          <w:lang w:val="it-IT"/>
        </w:rPr>
        <w:t>piegatrice manuale</w:t>
      </w:r>
      <w:r w:rsidR="00112809"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r w:rsidR="00D7281D">
        <w:rPr>
          <w:rFonts w:asciiTheme="minorHAnsi" w:hAnsiTheme="minorHAnsi" w:cs="Arial"/>
          <w:sz w:val="22"/>
          <w:szCs w:val="22"/>
          <w:lang w:val="it-IT"/>
        </w:rPr>
        <w:t>realizzata in esclusiva per questo cantiere.</w:t>
      </w:r>
    </w:p>
    <w:p w14:paraId="5461C56B" w14:textId="77777777" w:rsidR="00BE2FE7" w:rsidRDefault="00BE2FE7" w:rsidP="00A4617D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  <w:lang w:val="it-IT"/>
        </w:rPr>
      </w:pPr>
    </w:p>
    <w:p w14:paraId="45DF7881" w14:textId="77777777" w:rsidR="00BE2FE7" w:rsidRPr="00BE2FE7" w:rsidRDefault="00BE2FE7" w:rsidP="00A4617D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="Arial"/>
          <w:b/>
          <w:bCs/>
          <w:color w:val="C00000"/>
          <w:sz w:val="22"/>
          <w:szCs w:val="22"/>
          <w:lang w:val="it-IT"/>
        </w:rPr>
      </w:pPr>
      <w:r w:rsidRPr="00BE2FE7">
        <w:rPr>
          <w:rFonts w:asciiTheme="minorHAnsi" w:hAnsiTheme="minorHAnsi" w:cs="Arial"/>
          <w:b/>
          <w:bCs/>
          <w:color w:val="C00000"/>
          <w:sz w:val="22"/>
          <w:szCs w:val="22"/>
          <w:lang w:val="it-IT"/>
        </w:rPr>
        <w:t>Una scelta ponderata</w:t>
      </w:r>
    </w:p>
    <w:p w14:paraId="291ED684" w14:textId="77777777" w:rsidR="00D7281D" w:rsidRDefault="00D7281D" w:rsidP="00A4617D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  <w:lang w:val="it-IT"/>
        </w:rPr>
      </w:pPr>
      <w:r w:rsidRPr="00D7281D">
        <w:rPr>
          <w:rFonts w:asciiTheme="minorHAnsi" w:hAnsiTheme="minorHAnsi" w:cs="Arial"/>
          <w:sz w:val="22"/>
          <w:szCs w:val="22"/>
          <w:lang w:val="it-IT"/>
        </w:rPr>
        <w:t xml:space="preserve">In fase preliminare, </w:t>
      </w:r>
      <w:r>
        <w:rPr>
          <w:rFonts w:asciiTheme="minorHAnsi" w:hAnsiTheme="minorHAnsi" w:cs="Arial"/>
          <w:sz w:val="22"/>
          <w:szCs w:val="22"/>
          <w:lang w:val="it-IT"/>
        </w:rPr>
        <w:t xml:space="preserve">sono stati valutati </w:t>
      </w:r>
      <w:r w:rsidR="00BE2FE7">
        <w:rPr>
          <w:rFonts w:asciiTheme="minorHAnsi" w:hAnsiTheme="minorHAnsi" w:cs="Arial"/>
          <w:sz w:val="22"/>
          <w:szCs w:val="22"/>
          <w:lang w:val="it-IT"/>
        </w:rPr>
        <w:t xml:space="preserve">diverse tipologie </w:t>
      </w:r>
      <w:r>
        <w:rPr>
          <w:rFonts w:asciiTheme="minorHAnsi" w:hAnsiTheme="minorHAnsi" w:cs="Arial"/>
          <w:sz w:val="22"/>
          <w:szCs w:val="22"/>
          <w:lang w:val="it-IT"/>
        </w:rPr>
        <w:t>di materiali per il rivestimento dei 1600 mq di superficie di queste cortine: il fibrocemento, risultato troppo pesante e difficile da gestire in cantiere oltre a presentare una posa a fughe aperte che offriva minori garanzie di protezione dalla pioggia; stessa cosa dicasi per i pannelli compositi anche se essi rispondevano in pieno al requisito di planarità. Alla fine la scelta è ricaduta sulle doghe in alluminio PREFA, con montaggio ad incastro</w:t>
      </w:r>
      <w:r w:rsidR="003D09BF">
        <w:rPr>
          <w:rFonts w:asciiTheme="minorHAnsi" w:hAnsiTheme="minorHAnsi" w:cs="Arial"/>
          <w:sz w:val="22"/>
          <w:szCs w:val="22"/>
          <w:lang w:val="it-IT"/>
        </w:rPr>
        <w:t xml:space="preserve">, che costituiscono una efficace barriera alla pioggia, oltre a risultare estremamente resistenti agli urti, alla forza di trazione del vento e alla grandine. </w:t>
      </w:r>
    </w:p>
    <w:p w14:paraId="1F183DC7" w14:textId="77777777" w:rsidR="00D7281D" w:rsidRDefault="003D09BF" w:rsidP="003D09BF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  <w:lang w:val="it-IT"/>
        </w:rPr>
      </w:pPr>
      <w:r>
        <w:rPr>
          <w:rFonts w:asciiTheme="minorHAnsi" w:hAnsiTheme="minorHAnsi" w:cs="Arial"/>
          <w:sz w:val="22"/>
          <w:szCs w:val="22"/>
          <w:lang w:val="it-IT"/>
        </w:rPr>
        <w:t>Inoltre</w:t>
      </w:r>
      <w:r w:rsidR="00BE2FE7">
        <w:rPr>
          <w:rFonts w:asciiTheme="minorHAnsi" w:hAnsiTheme="minorHAnsi" w:cs="Arial"/>
          <w:sz w:val="22"/>
          <w:szCs w:val="22"/>
          <w:lang w:val="it-IT"/>
        </w:rPr>
        <w:t>,</w:t>
      </w:r>
      <w:r>
        <w:rPr>
          <w:rFonts w:asciiTheme="minorHAnsi" w:hAnsiTheme="minorHAnsi" w:cs="Arial"/>
          <w:sz w:val="22"/>
          <w:szCs w:val="22"/>
          <w:lang w:val="it-IT"/>
        </w:rPr>
        <w:t xml:space="preserve"> l’alluminio PREFA</w:t>
      </w:r>
      <w:r w:rsidR="00BE2FE7">
        <w:rPr>
          <w:rFonts w:asciiTheme="minorHAnsi" w:hAnsiTheme="minorHAnsi" w:cs="Arial"/>
          <w:sz w:val="22"/>
          <w:szCs w:val="22"/>
          <w:lang w:val="it-IT"/>
        </w:rPr>
        <w:t>,</w:t>
      </w:r>
      <w:r>
        <w:rPr>
          <w:rFonts w:asciiTheme="minorHAnsi" w:hAnsiTheme="minorHAnsi" w:cs="Arial"/>
          <w:sz w:val="22"/>
          <w:szCs w:val="22"/>
          <w:lang w:val="it-IT"/>
        </w:rPr>
        <w:t xml:space="preserve"> oltre </w:t>
      </w:r>
      <w:r w:rsidR="00BE2FE7">
        <w:rPr>
          <w:rFonts w:asciiTheme="minorHAnsi" w:hAnsiTheme="minorHAnsi" w:cs="Arial"/>
          <w:sz w:val="22"/>
          <w:szCs w:val="22"/>
          <w:lang w:val="it-IT"/>
        </w:rPr>
        <w:t>ad emergere nel</w:t>
      </w:r>
      <w:r>
        <w:rPr>
          <w:rFonts w:asciiTheme="minorHAnsi" w:hAnsiTheme="minorHAnsi" w:cs="Arial"/>
          <w:sz w:val="22"/>
          <w:szCs w:val="22"/>
          <w:lang w:val="it-IT"/>
        </w:rPr>
        <w:t xml:space="preserve"> confronto tecnico prestazionale, è risultato in linea con i budget previsti</w:t>
      </w:r>
      <w:r w:rsidR="00BE2FE7">
        <w:rPr>
          <w:rFonts w:asciiTheme="minorHAnsi" w:hAnsiTheme="minorHAnsi" w:cs="Arial"/>
          <w:sz w:val="22"/>
          <w:szCs w:val="22"/>
          <w:lang w:val="it-IT"/>
        </w:rPr>
        <w:t>, con una posa in opera meno onerosa rispetto alle alternative.</w:t>
      </w:r>
    </w:p>
    <w:p w14:paraId="0006BB23" w14:textId="77777777" w:rsidR="003D09BF" w:rsidRPr="00D7281D" w:rsidRDefault="003D09BF" w:rsidP="003D09BF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  <w:lang w:val="it-IT"/>
        </w:rPr>
      </w:pPr>
    </w:p>
    <w:p w14:paraId="1D45D7E7" w14:textId="08D346C3" w:rsidR="003D09BF" w:rsidRDefault="00C56963" w:rsidP="00C56963">
      <w:pPr>
        <w:tabs>
          <w:tab w:val="left" w:pos="284"/>
        </w:tabs>
        <w:spacing w:line="276" w:lineRule="auto"/>
        <w:ind w:left="284"/>
        <w:rPr>
          <w:rFonts w:asciiTheme="minorHAnsi" w:hAnsiTheme="minorHAnsi" w:cs="Arial"/>
          <w:b/>
          <w:bCs/>
          <w:color w:val="0070C0"/>
          <w:sz w:val="22"/>
          <w:szCs w:val="22"/>
          <w:lang w:val="it-IT"/>
        </w:rPr>
      </w:pPr>
      <w:r>
        <w:rPr>
          <w:rFonts w:asciiTheme="minorHAnsi" w:hAnsiTheme="minorHAnsi" w:cs="Arial"/>
          <w:b/>
          <w:bCs/>
          <w:color w:val="0070C0"/>
          <w:sz w:val="22"/>
          <w:szCs w:val="22"/>
          <w:lang w:val="it-IT"/>
        </w:rPr>
        <w:t xml:space="preserve"> </w:t>
      </w:r>
    </w:p>
    <w:p w14:paraId="1B787683" w14:textId="77777777" w:rsidR="00AB43ED" w:rsidRDefault="00AB43ED" w:rsidP="00C56963">
      <w:pPr>
        <w:tabs>
          <w:tab w:val="left" w:pos="284"/>
        </w:tabs>
        <w:spacing w:line="276" w:lineRule="auto"/>
        <w:ind w:left="284"/>
        <w:rPr>
          <w:rFonts w:asciiTheme="minorHAnsi" w:hAnsiTheme="minorHAnsi" w:cs="Arial"/>
          <w:sz w:val="22"/>
          <w:szCs w:val="22"/>
          <w:lang w:val="it-IT"/>
        </w:rPr>
      </w:pPr>
    </w:p>
    <w:p w14:paraId="77674C8A" w14:textId="77777777" w:rsidR="00AB43ED" w:rsidRPr="00AB43ED" w:rsidRDefault="00AB43ED" w:rsidP="00C56963">
      <w:pPr>
        <w:tabs>
          <w:tab w:val="left" w:pos="284"/>
        </w:tabs>
        <w:spacing w:line="276" w:lineRule="auto"/>
        <w:ind w:left="284"/>
        <w:rPr>
          <w:rFonts w:asciiTheme="minorHAnsi" w:hAnsiTheme="minorHAnsi" w:cs="Arial"/>
          <w:b/>
          <w:bCs/>
          <w:color w:val="C00000"/>
          <w:sz w:val="22"/>
          <w:szCs w:val="22"/>
          <w:lang w:val="it-IT"/>
        </w:rPr>
      </w:pPr>
      <w:r w:rsidRPr="00AB43ED">
        <w:rPr>
          <w:rFonts w:asciiTheme="minorHAnsi" w:hAnsiTheme="minorHAnsi" w:cs="Arial"/>
          <w:b/>
          <w:bCs/>
          <w:color w:val="C00000"/>
          <w:sz w:val="22"/>
          <w:szCs w:val="22"/>
          <w:lang w:val="it-IT"/>
        </w:rPr>
        <w:t>Produzione su misura per spessori maggiorati</w:t>
      </w:r>
    </w:p>
    <w:p w14:paraId="665E3456" w14:textId="56620B2C" w:rsidR="00386C75" w:rsidRPr="001314DF" w:rsidRDefault="00BE2FE7" w:rsidP="001314DF">
      <w:pPr>
        <w:tabs>
          <w:tab w:val="left" w:pos="284"/>
        </w:tabs>
        <w:spacing w:line="276" w:lineRule="auto"/>
        <w:ind w:left="284"/>
        <w:rPr>
          <w:rFonts w:asciiTheme="minorHAnsi" w:hAnsiTheme="minorHAnsi" w:cs="Arial"/>
          <w:sz w:val="22"/>
          <w:szCs w:val="22"/>
          <w:lang w:val="it-IT"/>
        </w:rPr>
      </w:pPr>
      <w:r>
        <w:rPr>
          <w:rFonts w:asciiTheme="minorHAnsi" w:hAnsiTheme="minorHAnsi" w:cs="Arial"/>
          <w:sz w:val="22"/>
          <w:szCs w:val="22"/>
          <w:lang w:val="it-IT"/>
        </w:rPr>
        <w:t xml:space="preserve">Un </w:t>
      </w:r>
      <w:r w:rsidR="003D09BF" w:rsidRPr="003D09BF">
        <w:rPr>
          <w:rFonts w:asciiTheme="minorHAnsi" w:hAnsiTheme="minorHAnsi" w:cs="Arial"/>
          <w:sz w:val="22"/>
          <w:szCs w:val="22"/>
          <w:lang w:val="it-IT"/>
        </w:rPr>
        <w:t xml:space="preserve">altro dei requisiti richiesti </w:t>
      </w:r>
      <w:r>
        <w:rPr>
          <w:rFonts w:asciiTheme="minorHAnsi" w:hAnsiTheme="minorHAnsi" w:cs="Arial"/>
          <w:sz w:val="22"/>
          <w:szCs w:val="22"/>
          <w:lang w:val="it-IT"/>
        </w:rPr>
        <w:t>ai rivestimenti p</w:t>
      </w:r>
      <w:r w:rsidRPr="003D09BF">
        <w:rPr>
          <w:rFonts w:asciiTheme="minorHAnsi" w:hAnsiTheme="minorHAnsi" w:cs="Arial"/>
          <w:sz w:val="22"/>
          <w:szCs w:val="22"/>
          <w:lang w:val="it-IT"/>
        </w:rPr>
        <w:t>er questa opera</w:t>
      </w:r>
      <w:r>
        <w:rPr>
          <w:rFonts w:asciiTheme="minorHAnsi" w:hAnsiTheme="minorHAnsi" w:cs="Arial"/>
          <w:sz w:val="22"/>
          <w:szCs w:val="22"/>
          <w:lang w:val="it-IT"/>
        </w:rPr>
        <w:t xml:space="preserve"> era l’</w:t>
      </w:r>
      <w:r w:rsidR="003D09BF" w:rsidRPr="003D09BF">
        <w:rPr>
          <w:rFonts w:asciiTheme="minorHAnsi" w:hAnsiTheme="minorHAnsi" w:cs="Arial"/>
          <w:sz w:val="22"/>
          <w:szCs w:val="22"/>
          <w:lang w:val="it-IT"/>
        </w:rPr>
        <w:t>elevata resistenza alle intemperie</w:t>
      </w:r>
      <w:r>
        <w:rPr>
          <w:rFonts w:asciiTheme="minorHAnsi" w:hAnsiTheme="minorHAnsi" w:cs="Arial"/>
          <w:sz w:val="22"/>
          <w:szCs w:val="22"/>
          <w:lang w:val="it-IT"/>
        </w:rPr>
        <w:t>. P</w:t>
      </w:r>
      <w:r w:rsidR="003D09BF">
        <w:rPr>
          <w:rFonts w:asciiTheme="minorHAnsi" w:hAnsiTheme="minorHAnsi" w:cs="Arial"/>
          <w:sz w:val="22"/>
          <w:szCs w:val="22"/>
          <w:lang w:val="it-IT"/>
        </w:rPr>
        <w:t xml:space="preserve">er </w:t>
      </w:r>
      <w:r>
        <w:rPr>
          <w:rFonts w:asciiTheme="minorHAnsi" w:hAnsiTheme="minorHAnsi" w:cs="Arial"/>
          <w:sz w:val="22"/>
          <w:szCs w:val="22"/>
          <w:lang w:val="it-IT"/>
        </w:rPr>
        <w:t>dare una risposta</w:t>
      </w:r>
      <w:r w:rsidR="003D09BF">
        <w:rPr>
          <w:rFonts w:asciiTheme="minorHAnsi" w:hAnsiTheme="minorHAnsi" w:cs="Arial"/>
          <w:sz w:val="22"/>
          <w:szCs w:val="22"/>
          <w:lang w:val="it-IT"/>
        </w:rPr>
        <w:t xml:space="preserve"> eccellente a tale esigenza</w:t>
      </w:r>
      <w:r>
        <w:rPr>
          <w:rFonts w:asciiTheme="minorHAnsi" w:hAnsiTheme="minorHAnsi" w:cs="Arial"/>
          <w:sz w:val="22"/>
          <w:szCs w:val="22"/>
          <w:lang w:val="it-IT"/>
        </w:rPr>
        <w:t>,</w:t>
      </w:r>
      <w:r w:rsidR="003D09BF"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r>
        <w:rPr>
          <w:rFonts w:asciiTheme="minorHAnsi" w:hAnsiTheme="minorHAnsi" w:cs="Arial"/>
          <w:sz w:val="22"/>
          <w:szCs w:val="22"/>
          <w:lang w:val="it-IT"/>
        </w:rPr>
        <w:t xml:space="preserve">l’azienda </w:t>
      </w:r>
      <w:r w:rsidR="003D09BF">
        <w:rPr>
          <w:rFonts w:asciiTheme="minorHAnsi" w:hAnsiTheme="minorHAnsi" w:cs="Arial"/>
          <w:sz w:val="22"/>
          <w:szCs w:val="22"/>
          <w:lang w:val="it-IT"/>
        </w:rPr>
        <w:t xml:space="preserve">Prefa ha realizzato tutte le doghe in spessore </w:t>
      </w:r>
      <w:r w:rsidR="00E329E0">
        <w:rPr>
          <w:rFonts w:asciiTheme="minorHAnsi" w:hAnsiTheme="minorHAnsi" w:cs="Arial"/>
          <w:sz w:val="22"/>
          <w:szCs w:val="22"/>
          <w:lang w:val="it-IT"/>
        </w:rPr>
        <w:t>1,2 mm</w:t>
      </w:r>
      <w:r w:rsidR="003D09BF">
        <w:rPr>
          <w:rFonts w:asciiTheme="minorHAnsi" w:hAnsiTheme="minorHAnsi" w:cs="Arial"/>
          <w:sz w:val="22"/>
          <w:szCs w:val="22"/>
          <w:lang w:val="it-IT"/>
        </w:rPr>
        <w:t xml:space="preserve">, </w:t>
      </w:r>
      <w:r>
        <w:rPr>
          <w:rFonts w:asciiTheme="minorHAnsi" w:hAnsiTheme="minorHAnsi" w:cs="Arial"/>
          <w:sz w:val="22"/>
          <w:szCs w:val="22"/>
          <w:lang w:val="it-IT"/>
        </w:rPr>
        <w:t>assicurando al tempo stesso</w:t>
      </w:r>
      <w:r w:rsidR="003D09BF">
        <w:rPr>
          <w:rFonts w:asciiTheme="minorHAnsi" w:hAnsiTheme="minorHAnsi" w:cs="Arial"/>
          <w:sz w:val="22"/>
          <w:szCs w:val="22"/>
          <w:lang w:val="it-IT"/>
        </w:rPr>
        <w:t xml:space="preserve"> una perfetta planarità delle superfici in virtù delle grandi dimensioni delle specchiature da rivestire.</w:t>
      </w:r>
      <w:r>
        <w:rPr>
          <w:rFonts w:asciiTheme="minorHAnsi" w:hAnsiTheme="minorHAnsi" w:cs="Arial"/>
          <w:sz w:val="22"/>
          <w:szCs w:val="22"/>
          <w:lang w:val="it-IT"/>
        </w:rPr>
        <w:t xml:space="preserve"> L’affidabilità delle performance di resistenza agli urti</w:t>
      </w:r>
      <w:r w:rsidR="003D09BF"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r>
        <w:rPr>
          <w:rFonts w:asciiTheme="minorHAnsi" w:hAnsiTheme="minorHAnsi" w:cs="Arial"/>
          <w:sz w:val="22"/>
          <w:szCs w:val="22"/>
          <w:lang w:val="it-IT"/>
        </w:rPr>
        <w:t>delle Doghe PREFA ottenute grazie all</w:t>
      </w:r>
      <w:r w:rsidR="003D09BF">
        <w:rPr>
          <w:rFonts w:asciiTheme="minorHAnsi" w:hAnsiTheme="minorHAnsi" w:cs="Arial"/>
          <w:sz w:val="22"/>
          <w:szCs w:val="22"/>
          <w:lang w:val="it-IT"/>
        </w:rPr>
        <w:t xml:space="preserve">o spessore maggiorato e </w:t>
      </w:r>
      <w:r>
        <w:rPr>
          <w:rFonts w:asciiTheme="minorHAnsi" w:hAnsiTheme="minorHAnsi" w:cs="Arial"/>
          <w:sz w:val="22"/>
          <w:szCs w:val="22"/>
          <w:lang w:val="it-IT"/>
        </w:rPr>
        <w:t>al contributo de</w:t>
      </w:r>
      <w:r w:rsidR="003D09BF">
        <w:rPr>
          <w:rFonts w:asciiTheme="minorHAnsi" w:hAnsiTheme="minorHAnsi" w:cs="Arial"/>
          <w:sz w:val="22"/>
          <w:szCs w:val="22"/>
          <w:lang w:val="it-IT"/>
        </w:rPr>
        <w:t xml:space="preserve">l particolare profilo d’incastro </w:t>
      </w:r>
      <w:r w:rsidR="003D09BF">
        <w:rPr>
          <w:rFonts w:asciiTheme="minorHAnsi" w:hAnsiTheme="minorHAnsi" w:cs="Arial"/>
          <w:sz w:val="22"/>
          <w:szCs w:val="22"/>
          <w:lang w:val="it-IT"/>
        </w:rPr>
        <w:lastRenderedPageBreak/>
        <w:t xml:space="preserve">che irrigidisce la superficie delle doghe stesse, </w:t>
      </w:r>
      <w:r>
        <w:rPr>
          <w:rFonts w:asciiTheme="minorHAnsi" w:hAnsiTheme="minorHAnsi" w:cs="Arial"/>
          <w:sz w:val="22"/>
          <w:szCs w:val="22"/>
          <w:lang w:val="it-IT"/>
        </w:rPr>
        <w:t xml:space="preserve">è già stata riscontrata in opera, </w:t>
      </w:r>
      <w:r w:rsidR="003D09BF">
        <w:rPr>
          <w:rFonts w:asciiTheme="minorHAnsi" w:hAnsiTheme="minorHAnsi" w:cs="Arial"/>
          <w:sz w:val="22"/>
          <w:szCs w:val="22"/>
          <w:lang w:val="it-IT"/>
        </w:rPr>
        <w:t xml:space="preserve">in seguito a violente grandinate che hanno colpito gli edifici </w:t>
      </w:r>
      <w:r w:rsidR="00AB43ED">
        <w:rPr>
          <w:rFonts w:asciiTheme="minorHAnsi" w:hAnsiTheme="minorHAnsi" w:cs="Arial"/>
          <w:sz w:val="22"/>
          <w:szCs w:val="22"/>
          <w:lang w:val="it-IT"/>
        </w:rPr>
        <w:t>a lavoro ultimato</w:t>
      </w:r>
      <w:r>
        <w:rPr>
          <w:rFonts w:asciiTheme="minorHAnsi" w:hAnsiTheme="minorHAnsi" w:cs="Arial"/>
          <w:sz w:val="22"/>
          <w:szCs w:val="22"/>
          <w:lang w:val="it-IT"/>
        </w:rPr>
        <w:t>, senza riportare nessun danno sulle superfici.</w:t>
      </w:r>
    </w:p>
    <w:p w14:paraId="470AB829" w14:textId="77777777" w:rsidR="00386C75" w:rsidRDefault="00386C75" w:rsidP="00B2474C">
      <w:pPr>
        <w:tabs>
          <w:tab w:val="left" w:pos="284"/>
        </w:tabs>
        <w:spacing w:line="276" w:lineRule="auto"/>
        <w:jc w:val="both"/>
        <w:rPr>
          <w:rFonts w:asciiTheme="minorHAnsi" w:hAnsiTheme="minorHAnsi" w:cs="Arial"/>
          <w:b/>
          <w:bCs/>
          <w:color w:val="C00000"/>
          <w:sz w:val="22"/>
          <w:szCs w:val="22"/>
          <w:lang w:val="it-IT"/>
        </w:rPr>
      </w:pPr>
    </w:p>
    <w:p w14:paraId="0147CC79" w14:textId="77777777" w:rsidR="00A4617D" w:rsidRPr="00AB43ED" w:rsidRDefault="00AB43ED" w:rsidP="00A4617D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="Arial"/>
          <w:b/>
          <w:bCs/>
          <w:color w:val="C00000"/>
          <w:sz w:val="22"/>
          <w:szCs w:val="22"/>
          <w:lang w:val="it-IT"/>
        </w:rPr>
      </w:pPr>
      <w:r w:rsidRPr="00AB43ED">
        <w:rPr>
          <w:rFonts w:asciiTheme="minorHAnsi" w:hAnsiTheme="minorHAnsi" w:cs="Arial"/>
          <w:b/>
          <w:bCs/>
          <w:color w:val="C00000"/>
          <w:sz w:val="22"/>
          <w:szCs w:val="22"/>
          <w:lang w:val="it-IT"/>
        </w:rPr>
        <w:t>Anche la verniciatura ha il suo valore aggiunto</w:t>
      </w:r>
    </w:p>
    <w:p w14:paraId="3A7BEDB0" w14:textId="7CA3A910" w:rsidR="000E0433" w:rsidRPr="00B21CF1" w:rsidRDefault="00AB43ED" w:rsidP="00AB43ED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="Arial"/>
          <w:b/>
          <w:bCs/>
          <w:sz w:val="22"/>
          <w:szCs w:val="22"/>
          <w:lang w:val="it-IT"/>
        </w:rPr>
      </w:pPr>
      <w:r w:rsidRPr="00AB43ED">
        <w:rPr>
          <w:rFonts w:asciiTheme="minorHAnsi" w:hAnsiTheme="minorHAnsi" w:cs="Arial"/>
          <w:sz w:val="22"/>
          <w:szCs w:val="22"/>
          <w:lang w:val="it-IT"/>
        </w:rPr>
        <w:t xml:space="preserve">Molto apprezzata anche la tonalità opaca del marrone P.10 scelta per questo progetto. L’opacità della verniciatura evita la rifrazione della luce diretta del sole e dunque fastidiosi riverberi. </w:t>
      </w:r>
      <w:r w:rsidR="00A4617D" w:rsidRPr="00AB43ED">
        <w:rPr>
          <w:rFonts w:asciiTheme="minorHAnsi" w:hAnsiTheme="minorHAnsi" w:cs="Arial"/>
          <w:sz w:val="22"/>
          <w:szCs w:val="22"/>
          <w:lang w:val="it-IT"/>
        </w:rPr>
        <w:t>Le doghe di rivestimento PREFA sono state installate in orizzontale</w:t>
      </w:r>
      <w:r w:rsidRPr="00AB43ED">
        <w:rPr>
          <w:rFonts w:asciiTheme="minorHAnsi" w:hAnsiTheme="minorHAnsi" w:cs="Arial"/>
          <w:sz w:val="22"/>
          <w:szCs w:val="22"/>
          <w:lang w:val="it-IT"/>
        </w:rPr>
        <w:t xml:space="preserve">, seguendo l’andamento delle aperture di cui richiamano la geometria allungata. </w:t>
      </w:r>
      <w:r w:rsidR="000E0433" w:rsidRPr="00AB43ED">
        <w:rPr>
          <w:rFonts w:asciiTheme="minorHAnsi" w:hAnsiTheme="minorHAnsi" w:cs="Arial"/>
          <w:sz w:val="22"/>
          <w:szCs w:val="22"/>
          <w:lang w:val="it-IT"/>
        </w:rPr>
        <w:t xml:space="preserve">Il fissaggio a scomparsa </w:t>
      </w:r>
      <w:r>
        <w:rPr>
          <w:rFonts w:asciiTheme="minorHAnsi" w:hAnsiTheme="minorHAnsi" w:cs="Arial"/>
          <w:sz w:val="22"/>
          <w:szCs w:val="22"/>
          <w:lang w:val="it-IT"/>
        </w:rPr>
        <w:t>che sfrutta un esclusivo</w:t>
      </w:r>
      <w:r w:rsidR="000E0433" w:rsidRPr="00AB43ED">
        <w:rPr>
          <w:rFonts w:asciiTheme="minorHAnsi" w:hAnsiTheme="minorHAnsi" w:cs="Arial"/>
          <w:sz w:val="22"/>
          <w:szCs w:val="22"/>
          <w:lang w:val="it-IT"/>
        </w:rPr>
        <w:t xml:space="preserve"> sistema ad incastro maschio - femmina garantisce un'estetica elegante</w:t>
      </w:r>
      <w:r>
        <w:rPr>
          <w:rFonts w:asciiTheme="minorHAnsi" w:hAnsiTheme="minorHAnsi" w:cs="Arial"/>
          <w:sz w:val="22"/>
          <w:szCs w:val="22"/>
          <w:lang w:val="it-IT"/>
        </w:rPr>
        <w:t xml:space="preserve"> e l’assenza di fissaggi a vista</w:t>
      </w:r>
      <w:r w:rsidR="000E0433" w:rsidRPr="00AB43ED">
        <w:rPr>
          <w:rFonts w:asciiTheme="minorHAnsi" w:hAnsiTheme="minorHAnsi" w:cs="Arial"/>
          <w:sz w:val="22"/>
          <w:szCs w:val="22"/>
          <w:lang w:val="it-IT"/>
        </w:rPr>
        <w:t xml:space="preserve">. </w:t>
      </w:r>
      <w:r w:rsidR="000E0433" w:rsidRPr="00B21CF1">
        <w:rPr>
          <w:rFonts w:asciiTheme="minorHAnsi" w:hAnsiTheme="minorHAnsi" w:cs="Arial"/>
          <w:b/>
          <w:bCs/>
          <w:sz w:val="22"/>
          <w:szCs w:val="22"/>
          <w:lang w:val="it-IT"/>
        </w:rPr>
        <w:t xml:space="preserve">L’elevata qualità dell’alluminio PREFA </w:t>
      </w:r>
      <w:r w:rsidR="000E0433" w:rsidRPr="00AB43ED">
        <w:rPr>
          <w:rFonts w:asciiTheme="minorHAnsi" w:hAnsiTheme="minorHAnsi" w:cs="Arial"/>
          <w:sz w:val="22"/>
          <w:szCs w:val="22"/>
          <w:lang w:val="it-IT"/>
        </w:rPr>
        <w:t xml:space="preserve">permette all’azienda di garantire il materiale per </w:t>
      </w:r>
      <w:r w:rsidR="000E0433" w:rsidRPr="00B21CF1">
        <w:rPr>
          <w:rFonts w:asciiTheme="minorHAnsi" w:hAnsiTheme="minorHAnsi" w:cs="Arial"/>
          <w:b/>
          <w:bCs/>
          <w:sz w:val="22"/>
          <w:szCs w:val="22"/>
          <w:lang w:val="it-IT"/>
        </w:rPr>
        <w:t>40 anni contro rottura, corrosione (ruggine) e congelamento</w:t>
      </w:r>
      <w:r w:rsidR="000E0433" w:rsidRPr="00AB43ED">
        <w:rPr>
          <w:rFonts w:asciiTheme="minorHAnsi" w:hAnsiTheme="minorHAnsi" w:cs="Arial"/>
          <w:sz w:val="22"/>
          <w:szCs w:val="22"/>
          <w:lang w:val="it-IT"/>
        </w:rPr>
        <w:t xml:space="preserve">, garanzia estesa anche sulla </w:t>
      </w:r>
      <w:r w:rsidR="000E0433" w:rsidRPr="00B21CF1">
        <w:rPr>
          <w:rFonts w:asciiTheme="minorHAnsi" w:hAnsiTheme="minorHAnsi" w:cs="Arial"/>
          <w:b/>
          <w:bCs/>
          <w:sz w:val="22"/>
          <w:szCs w:val="22"/>
          <w:lang w:val="it-IT"/>
        </w:rPr>
        <w:t>verniciatura</w:t>
      </w:r>
      <w:r w:rsidR="000E0433" w:rsidRPr="00AB43ED">
        <w:rPr>
          <w:rFonts w:asciiTheme="minorHAnsi" w:hAnsiTheme="minorHAnsi" w:cs="Arial"/>
          <w:sz w:val="22"/>
          <w:szCs w:val="22"/>
          <w:lang w:val="it-IT"/>
        </w:rPr>
        <w:t xml:space="preserve"> contro scheggiatura e formazione di bolle sui rivestimenti, per le colorazioni della gamma </w:t>
      </w:r>
      <w:r w:rsidR="000E0433" w:rsidRPr="00B21CF1">
        <w:rPr>
          <w:rFonts w:asciiTheme="minorHAnsi" w:hAnsiTheme="minorHAnsi" w:cs="Arial"/>
          <w:b/>
          <w:bCs/>
          <w:sz w:val="22"/>
          <w:szCs w:val="22"/>
          <w:lang w:val="it-IT"/>
        </w:rPr>
        <w:t>PREFA P.10.</w:t>
      </w:r>
    </w:p>
    <w:p w14:paraId="3F5A4777" w14:textId="77777777" w:rsidR="000E0433" w:rsidRDefault="000E0433" w:rsidP="000E0433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  <w:lang w:val="it-IT"/>
        </w:rPr>
      </w:pPr>
    </w:p>
    <w:p w14:paraId="05746CF6" w14:textId="77777777" w:rsidR="000E0433" w:rsidRDefault="000E0433" w:rsidP="000E0433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  <w:lang w:val="it-IT"/>
        </w:rPr>
      </w:pPr>
    </w:p>
    <w:tbl>
      <w:tblPr>
        <w:tblStyle w:val="Sfondochiaro-Colore2"/>
        <w:tblW w:w="9355" w:type="dxa"/>
        <w:tblInd w:w="39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7262"/>
      </w:tblGrid>
      <w:tr w:rsidR="000E0433" w14:paraId="247CDA78" w14:textId="77777777" w:rsidTr="000E0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  <w:hideMark/>
          </w:tcPr>
          <w:p w14:paraId="5E84CCD7" w14:textId="77777777" w:rsidR="000E0433" w:rsidRDefault="000E0433">
            <w:pPr>
              <w:tabs>
                <w:tab w:val="left" w:pos="284"/>
                <w:tab w:val="left" w:pos="600"/>
              </w:tabs>
              <w:spacing w:line="276" w:lineRule="auto"/>
              <w:ind w:right="142"/>
              <w:jc w:val="both"/>
              <w:rPr>
                <w:rFonts w:asciiTheme="minorHAnsi" w:hAnsiTheme="minorHAnsi" w:cs="Arial"/>
                <w:color w:val="C0000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Arial"/>
                <w:color w:val="C00000"/>
                <w:sz w:val="22"/>
                <w:szCs w:val="22"/>
                <w:lang w:val="it-IT"/>
              </w:rPr>
              <w:t>DOGHE PREFA</w:t>
            </w:r>
          </w:p>
        </w:tc>
        <w:tc>
          <w:tcPr>
            <w:tcW w:w="7262" w:type="dxa"/>
            <w:vAlign w:val="center"/>
            <w:hideMark/>
          </w:tcPr>
          <w:p w14:paraId="27B34C24" w14:textId="77777777" w:rsidR="000E0433" w:rsidRDefault="000E0433">
            <w:pPr>
              <w:tabs>
                <w:tab w:val="left" w:pos="284"/>
                <w:tab w:val="left" w:pos="600"/>
              </w:tabs>
              <w:spacing w:line="276" w:lineRule="auto"/>
              <w:ind w:right="14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C0000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Arial"/>
                <w:color w:val="C00000"/>
                <w:sz w:val="22"/>
                <w:szCs w:val="22"/>
                <w:lang w:val="it-IT"/>
              </w:rPr>
              <w:t>DATI TECNICI</w:t>
            </w:r>
          </w:p>
        </w:tc>
      </w:tr>
      <w:tr w:rsidR="000E0433" w:rsidRPr="001314DF" w14:paraId="778C38F8" w14:textId="77777777" w:rsidTr="000E0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il"/>
              <w:bottom w:val="nil"/>
            </w:tcBorders>
            <w:vAlign w:val="center"/>
            <w:hideMark/>
          </w:tcPr>
          <w:p w14:paraId="64D5FBD1" w14:textId="77777777" w:rsidR="000E0433" w:rsidRPr="00B21CF1" w:rsidRDefault="000E0433">
            <w:pPr>
              <w:tabs>
                <w:tab w:val="left" w:pos="284"/>
                <w:tab w:val="left" w:pos="600"/>
              </w:tabs>
              <w:ind w:right="142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</w:pPr>
            <w:r w:rsidRPr="00B21CF1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>Materiale:</w:t>
            </w:r>
          </w:p>
        </w:tc>
        <w:tc>
          <w:tcPr>
            <w:tcW w:w="7262" w:type="dxa"/>
            <w:tcBorders>
              <w:top w:val="nil"/>
              <w:bottom w:val="nil"/>
            </w:tcBorders>
            <w:vAlign w:val="center"/>
            <w:hideMark/>
          </w:tcPr>
          <w:p w14:paraId="002A730C" w14:textId="77777777" w:rsidR="000E0433" w:rsidRPr="00B21CF1" w:rsidRDefault="000E0433">
            <w:pPr>
              <w:tabs>
                <w:tab w:val="left" w:pos="284"/>
                <w:tab w:val="left" w:pos="600"/>
              </w:tabs>
              <w:ind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</w:pPr>
            <w:r w:rsidRPr="00B21CF1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>Alluminio con doppio strato di verniciatura poliammidica poliuretanica di alta qualità in Coil Coating.</w:t>
            </w:r>
          </w:p>
        </w:tc>
      </w:tr>
      <w:tr w:rsidR="000E0433" w:rsidRPr="001314DF" w14:paraId="4DA89F4F" w14:textId="77777777" w:rsidTr="000E04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728957" w14:textId="77777777" w:rsidR="000E0433" w:rsidRPr="00B21CF1" w:rsidRDefault="000E0433">
            <w:pPr>
              <w:tabs>
                <w:tab w:val="left" w:pos="284"/>
                <w:tab w:val="left" w:pos="600"/>
              </w:tabs>
              <w:ind w:left="209" w:right="142" w:hanging="209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</w:pPr>
            <w:r w:rsidRPr="00B21CF1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>Fuga:</w:t>
            </w:r>
          </w:p>
        </w:tc>
        <w:tc>
          <w:tcPr>
            <w:tcW w:w="72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BB197" w14:textId="77777777" w:rsidR="000E0433" w:rsidRPr="00B21CF1" w:rsidRDefault="000E0433">
            <w:pPr>
              <w:tabs>
                <w:tab w:val="left" w:pos="284"/>
                <w:tab w:val="left" w:pos="600"/>
              </w:tabs>
              <w:ind w:righ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</w:pPr>
            <w:r w:rsidRPr="00B21CF1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>Con o senza fuga longitudinale di larghezza 15 mm e profondità 7 mm</w:t>
            </w:r>
          </w:p>
        </w:tc>
      </w:tr>
      <w:tr w:rsidR="000E0433" w:rsidRPr="001314DF" w14:paraId="7A128120" w14:textId="77777777" w:rsidTr="000E0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il"/>
              <w:bottom w:val="nil"/>
            </w:tcBorders>
            <w:vAlign w:val="center"/>
            <w:hideMark/>
          </w:tcPr>
          <w:p w14:paraId="58F46F0B" w14:textId="77777777" w:rsidR="000E0433" w:rsidRPr="00B21CF1" w:rsidRDefault="000E0433">
            <w:pPr>
              <w:tabs>
                <w:tab w:val="left" w:pos="284"/>
                <w:tab w:val="left" w:pos="600"/>
              </w:tabs>
              <w:ind w:right="142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</w:pPr>
            <w:r w:rsidRPr="00B21CF1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>Lunghezza:</w:t>
            </w:r>
          </w:p>
        </w:tc>
        <w:tc>
          <w:tcPr>
            <w:tcW w:w="7262" w:type="dxa"/>
            <w:tcBorders>
              <w:top w:val="nil"/>
              <w:bottom w:val="nil"/>
            </w:tcBorders>
            <w:vAlign w:val="center"/>
            <w:hideMark/>
          </w:tcPr>
          <w:p w14:paraId="3454CE91" w14:textId="77777777" w:rsidR="000E0433" w:rsidRPr="00B21CF1" w:rsidRDefault="000E0433">
            <w:pPr>
              <w:tabs>
                <w:tab w:val="left" w:pos="284"/>
                <w:tab w:val="left" w:pos="600"/>
              </w:tabs>
              <w:ind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</w:pPr>
            <w:r w:rsidRPr="00B21CF1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>500 - 2.500 mm per tutte le larghezze se utilizzato con fuga PREFA</w:t>
            </w:r>
          </w:p>
          <w:p w14:paraId="348554C9" w14:textId="77777777" w:rsidR="000E0433" w:rsidRPr="00B21CF1" w:rsidRDefault="000E0433">
            <w:pPr>
              <w:tabs>
                <w:tab w:val="left" w:pos="284"/>
                <w:tab w:val="left" w:pos="600"/>
              </w:tabs>
              <w:ind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</w:pPr>
            <w:r w:rsidRPr="00B21CF1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>500 - 6.200 mm per tutte le larghezze se utilizzato senza fuga PREFA</w:t>
            </w:r>
          </w:p>
        </w:tc>
      </w:tr>
      <w:tr w:rsidR="000E0433" w:rsidRPr="001314DF" w14:paraId="4144D56A" w14:textId="77777777" w:rsidTr="000E04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0AE39" w14:textId="77777777" w:rsidR="000E0433" w:rsidRPr="00B21CF1" w:rsidRDefault="000E0433">
            <w:pPr>
              <w:tabs>
                <w:tab w:val="left" w:pos="284"/>
                <w:tab w:val="left" w:pos="600"/>
              </w:tabs>
              <w:ind w:right="142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</w:pPr>
            <w:r w:rsidRPr="00B21CF1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>Formato:</w:t>
            </w:r>
          </w:p>
        </w:tc>
        <w:tc>
          <w:tcPr>
            <w:tcW w:w="7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89573" w14:textId="77777777" w:rsidR="000E0433" w:rsidRPr="00B21CF1" w:rsidRDefault="000E0433">
            <w:pPr>
              <w:tabs>
                <w:tab w:val="left" w:pos="284"/>
                <w:tab w:val="left" w:pos="600"/>
              </w:tabs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</w:pPr>
            <w:r w:rsidRPr="00B21CF1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>0,7 × 138 mm (sp./ largh. a vista), goffrato, rigato a scelta con fuga (P.10 anche liscio)</w:t>
            </w:r>
          </w:p>
          <w:p w14:paraId="1F6A4754" w14:textId="77777777" w:rsidR="000E0433" w:rsidRPr="00B21CF1" w:rsidRDefault="000E0433">
            <w:pPr>
              <w:tabs>
                <w:tab w:val="left" w:pos="284"/>
                <w:tab w:val="left" w:pos="600"/>
              </w:tabs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</w:pPr>
            <w:r w:rsidRPr="00B21CF1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>1,0 × 200 mm (sp./ largh. a vista), liscio, rigato o goffrato, a scelta con fuga</w:t>
            </w:r>
          </w:p>
          <w:p w14:paraId="4B3F203B" w14:textId="77777777" w:rsidR="000E0433" w:rsidRPr="00B21CF1" w:rsidRDefault="000E0433">
            <w:pPr>
              <w:tabs>
                <w:tab w:val="left" w:pos="284"/>
                <w:tab w:val="left" w:pos="600"/>
              </w:tabs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</w:pPr>
            <w:r w:rsidRPr="00B21CF1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>1,2 × 300 mm (sp./ largh. a vista), liscio, a scelta con fuga</w:t>
            </w:r>
          </w:p>
          <w:p w14:paraId="4FC4528C" w14:textId="77777777" w:rsidR="000E0433" w:rsidRPr="00B21CF1" w:rsidRDefault="000E0433">
            <w:pPr>
              <w:tabs>
                <w:tab w:val="left" w:pos="284"/>
                <w:tab w:val="left" w:pos="600"/>
              </w:tabs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</w:pPr>
            <w:r w:rsidRPr="00B21CF1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>1,2 × 400 mm (sp./ largh. a vista), liscio, a scelta con fuga (Montaggio con Clip Antivento)</w:t>
            </w:r>
          </w:p>
          <w:p w14:paraId="399F99E7" w14:textId="77777777" w:rsidR="000E0433" w:rsidRPr="00B21CF1" w:rsidRDefault="000E0433">
            <w:pPr>
              <w:tabs>
                <w:tab w:val="left" w:pos="284"/>
                <w:tab w:val="left" w:pos="600"/>
              </w:tabs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</w:pPr>
          </w:p>
          <w:p w14:paraId="3AE012FA" w14:textId="77777777" w:rsidR="000E0433" w:rsidRPr="00B21CF1" w:rsidRDefault="000E0433">
            <w:pPr>
              <w:tabs>
                <w:tab w:val="left" w:pos="284"/>
                <w:tab w:val="left" w:pos="600"/>
              </w:tabs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</w:pPr>
            <w:r w:rsidRPr="00B21CF1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>Formati fuori standard (da 120 a 400mm) disponibili a richiesta</w:t>
            </w:r>
          </w:p>
        </w:tc>
      </w:tr>
      <w:tr w:rsidR="000E0433" w:rsidRPr="001314DF" w14:paraId="25C69AB6" w14:textId="77777777" w:rsidTr="000E0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il"/>
              <w:bottom w:val="nil"/>
            </w:tcBorders>
            <w:vAlign w:val="center"/>
            <w:hideMark/>
          </w:tcPr>
          <w:p w14:paraId="08BC201F" w14:textId="77777777" w:rsidR="000E0433" w:rsidRPr="00B21CF1" w:rsidRDefault="000E0433">
            <w:pPr>
              <w:tabs>
                <w:tab w:val="left" w:pos="284"/>
                <w:tab w:val="left" w:pos="600"/>
              </w:tabs>
              <w:ind w:right="142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</w:pPr>
            <w:r w:rsidRPr="00B21CF1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>Peso:</w:t>
            </w:r>
          </w:p>
        </w:tc>
        <w:tc>
          <w:tcPr>
            <w:tcW w:w="7262" w:type="dxa"/>
            <w:tcBorders>
              <w:top w:val="nil"/>
              <w:bottom w:val="nil"/>
            </w:tcBorders>
            <w:vAlign w:val="center"/>
            <w:hideMark/>
          </w:tcPr>
          <w:p w14:paraId="34290C38" w14:textId="77777777" w:rsidR="000E0433" w:rsidRPr="00B21CF1" w:rsidRDefault="000E0433">
            <w:pPr>
              <w:tabs>
                <w:tab w:val="left" w:pos="284"/>
                <w:tab w:val="left" w:pos="600"/>
              </w:tabs>
              <w:ind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</w:pPr>
            <w:r w:rsidRPr="00B21CF1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>ca. da 3,30 a 4,30 kg/m² in funzione del formato</w:t>
            </w:r>
          </w:p>
        </w:tc>
      </w:tr>
      <w:tr w:rsidR="000E0433" w14:paraId="1B5627F1" w14:textId="77777777" w:rsidTr="000E04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9EDD7" w14:textId="77777777" w:rsidR="000E0433" w:rsidRPr="00B21CF1" w:rsidRDefault="000E0433">
            <w:pPr>
              <w:tabs>
                <w:tab w:val="left" w:pos="284"/>
                <w:tab w:val="left" w:pos="600"/>
              </w:tabs>
              <w:ind w:right="142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</w:pPr>
            <w:r w:rsidRPr="00B21CF1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>Posa:</w:t>
            </w:r>
          </w:p>
        </w:tc>
        <w:tc>
          <w:tcPr>
            <w:tcW w:w="72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63403" w14:textId="77777777" w:rsidR="000E0433" w:rsidRPr="00B21CF1" w:rsidRDefault="000E0433">
            <w:pPr>
              <w:tabs>
                <w:tab w:val="left" w:pos="284"/>
                <w:tab w:val="left" w:pos="600"/>
              </w:tabs>
              <w:ind w:righ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</w:pPr>
            <w:r w:rsidRPr="00B21CF1">
              <w:rPr>
                <w:rFonts w:asciiTheme="minorHAnsi" w:hAnsiTheme="minorHAnsi" w:cs="Arial"/>
                <w:color w:val="auto"/>
                <w:sz w:val="22"/>
                <w:szCs w:val="22"/>
              </w:rPr>
              <w:t>obliqua, verticale o orizzontale</w:t>
            </w:r>
          </w:p>
        </w:tc>
      </w:tr>
      <w:tr w:rsidR="000E0433" w14:paraId="257A87EB" w14:textId="77777777" w:rsidTr="000E0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il"/>
              <w:bottom w:val="single" w:sz="8" w:space="0" w:color="C0504D" w:themeColor="accent2"/>
            </w:tcBorders>
            <w:vAlign w:val="center"/>
            <w:hideMark/>
          </w:tcPr>
          <w:p w14:paraId="5346FBA7" w14:textId="77777777" w:rsidR="000E0433" w:rsidRPr="00B21CF1" w:rsidRDefault="000E0433">
            <w:pPr>
              <w:tabs>
                <w:tab w:val="left" w:pos="284"/>
                <w:tab w:val="left" w:pos="600"/>
              </w:tabs>
              <w:ind w:right="142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</w:pPr>
            <w:r w:rsidRPr="00B21CF1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>Gamma colori:</w:t>
            </w:r>
          </w:p>
        </w:tc>
        <w:tc>
          <w:tcPr>
            <w:tcW w:w="7262" w:type="dxa"/>
            <w:tcBorders>
              <w:top w:val="nil"/>
              <w:bottom w:val="single" w:sz="8" w:space="0" w:color="C0504D" w:themeColor="accent2"/>
            </w:tcBorders>
            <w:vAlign w:val="center"/>
            <w:hideMark/>
          </w:tcPr>
          <w:p w14:paraId="65310ADC" w14:textId="77777777" w:rsidR="000E0433" w:rsidRPr="00B21CF1" w:rsidRDefault="000E0433">
            <w:pPr>
              <w:tabs>
                <w:tab w:val="left" w:pos="284"/>
                <w:tab w:val="left" w:pos="600"/>
              </w:tabs>
              <w:ind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</w:pPr>
            <w:r w:rsidRPr="00B21CF1">
              <w:rPr>
                <w:rFonts w:asciiTheme="minorHAnsi" w:hAnsiTheme="minorHAnsi" w:cs="Arial"/>
                <w:color w:val="auto"/>
                <w:sz w:val="22"/>
                <w:szCs w:val="22"/>
                <w:lang w:val="it-IT"/>
              </w:rPr>
              <w:t>Disponibile in 23 colori standard</w:t>
            </w:r>
            <w:r w:rsidRPr="00B21CF1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</w:tc>
      </w:tr>
    </w:tbl>
    <w:p w14:paraId="68BD0EB9" w14:textId="77777777" w:rsidR="000E0433" w:rsidRDefault="000E0433" w:rsidP="00BE2FE7">
      <w:pPr>
        <w:tabs>
          <w:tab w:val="left" w:pos="284"/>
          <w:tab w:val="left" w:pos="600"/>
        </w:tabs>
        <w:spacing w:after="120" w:line="276" w:lineRule="auto"/>
        <w:ind w:right="141"/>
        <w:jc w:val="both"/>
        <w:rPr>
          <w:rFonts w:asciiTheme="minorHAnsi" w:hAnsiTheme="minorHAnsi" w:cs="Arial"/>
          <w:b/>
          <w:sz w:val="22"/>
          <w:szCs w:val="22"/>
          <w:lang w:val="it-IT" w:eastAsia="ko-KR"/>
        </w:rPr>
      </w:pPr>
      <w:r>
        <w:rPr>
          <w:rFonts w:asciiTheme="minorHAnsi" w:hAnsiTheme="minorHAnsi" w:cs="Arial"/>
          <w:color w:val="0070C0"/>
          <w:sz w:val="22"/>
          <w:szCs w:val="22"/>
          <w:lang w:val="it-IT"/>
        </w:rPr>
        <w:t xml:space="preserve">  </w:t>
      </w:r>
      <w:r>
        <w:rPr>
          <w:rFonts w:asciiTheme="minorHAnsi" w:hAnsiTheme="minorHAnsi" w:cs="Arial"/>
          <w:color w:val="0070C0"/>
          <w:sz w:val="22"/>
          <w:szCs w:val="22"/>
          <w:lang w:val="it-IT"/>
        </w:rPr>
        <w:tab/>
      </w:r>
    </w:p>
    <w:p w14:paraId="37EAAC92" w14:textId="77777777" w:rsidR="00B903B1" w:rsidRPr="00B903B1" w:rsidRDefault="00B903B1" w:rsidP="00DB445E">
      <w:pPr>
        <w:tabs>
          <w:tab w:val="left" w:pos="284"/>
          <w:tab w:val="left" w:pos="8520"/>
        </w:tabs>
        <w:autoSpaceDE w:val="0"/>
        <w:autoSpaceDN w:val="0"/>
        <w:adjustRightInd w:val="0"/>
        <w:spacing w:line="276" w:lineRule="auto"/>
        <w:ind w:left="284" w:right="141"/>
        <w:jc w:val="both"/>
        <w:rPr>
          <w:rFonts w:asciiTheme="minorHAnsi" w:hAnsiTheme="minorHAnsi" w:cs="Arial"/>
          <w:b/>
          <w:sz w:val="22"/>
          <w:szCs w:val="22"/>
          <w:lang w:val="it-IT" w:eastAsia="ko-KR"/>
        </w:rPr>
      </w:pPr>
      <w:r w:rsidRPr="00B903B1">
        <w:rPr>
          <w:rFonts w:asciiTheme="minorHAnsi" w:hAnsiTheme="minorHAnsi" w:cs="Arial"/>
          <w:b/>
          <w:sz w:val="22"/>
          <w:szCs w:val="22"/>
          <w:lang w:val="it-IT" w:eastAsia="ko-KR"/>
        </w:rPr>
        <w:t>PREFA Italia Srl</w:t>
      </w:r>
    </w:p>
    <w:p w14:paraId="40EB1CF4" w14:textId="77777777" w:rsidR="00B903B1" w:rsidRPr="00B903B1" w:rsidRDefault="00B903B1" w:rsidP="00DB445E">
      <w:pPr>
        <w:tabs>
          <w:tab w:val="left" w:pos="284"/>
          <w:tab w:val="left" w:pos="8520"/>
        </w:tabs>
        <w:autoSpaceDE w:val="0"/>
        <w:autoSpaceDN w:val="0"/>
        <w:adjustRightInd w:val="0"/>
        <w:spacing w:line="276" w:lineRule="auto"/>
        <w:ind w:left="284" w:right="141"/>
        <w:jc w:val="both"/>
        <w:rPr>
          <w:rFonts w:asciiTheme="minorHAnsi" w:hAnsiTheme="minorHAnsi" w:cs="Arial"/>
          <w:sz w:val="18"/>
          <w:szCs w:val="18"/>
          <w:lang w:val="it-IT" w:eastAsia="ko-KR"/>
        </w:rPr>
      </w:pPr>
      <w:r w:rsidRPr="00B903B1">
        <w:rPr>
          <w:rFonts w:asciiTheme="minorHAnsi" w:hAnsiTheme="minorHAnsi" w:cs="Arial"/>
          <w:sz w:val="18"/>
          <w:szCs w:val="18"/>
          <w:lang w:val="it-IT" w:eastAsia="ko-KR"/>
        </w:rPr>
        <w:t>Via Negrelli, 23 – 39100 BOLZANO</w:t>
      </w:r>
    </w:p>
    <w:p w14:paraId="16C29429" w14:textId="77777777" w:rsidR="00B903B1" w:rsidRPr="00EE58EF" w:rsidRDefault="00B903B1" w:rsidP="00DB445E">
      <w:pPr>
        <w:tabs>
          <w:tab w:val="left" w:pos="284"/>
          <w:tab w:val="left" w:pos="8520"/>
        </w:tabs>
        <w:autoSpaceDE w:val="0"/>
        <w:autoSpaceDN w:val="0"/>
        <w:adjustRightInd w:val="0"/>
        <w:spacing w:line="276" w:lineRule="auto"/>
        <w:ind w:left="284" w:right="141"/>
        <w:jc w:val="both"/>
        <w:rPr>
          <w:rFonts w:asciiTheme="minorHAnsi" w:hAnsiTheme="minorHAnsi" w:cs="Arial"/>
          <w:sz w:val="18"/>
          <w:szCs w:val="18"/>
          <w:lang w:val="it-IT" w:eastAsia="ko-KR"/>
        </w:rPr>
      </w:pPr>
      <w:r w:rsidRPr="00EE58EF">
        <w:rPr>
          <w:rFonts w:asciiTheme="minorHAnsi" w:hAnsiTheme="minorHAnsi" w:cs="Arial"/>
          <w:sz w:val="18"/>
          <w:szCs w:val="18"/>
          <w:lang w:val="it-IT" w:eastAsia="ko-KR"/>
        </w:rPr>
        <w:t>T. +39 0471 068680 - F: +39 0471 068690</w:t>
      </w:r>
    </w:p>
    <w:p w14:paraId="41BAA25D" w14:textId="77777777" w:rsidR="00B903B1" w:rsidRPr="00EE58EF" w:rsidRDefault="00B2474C" w:rsidP="00DB445E">
      <w:pPr>
        <w:tabs>
          <w:tab w:val="left" w:pos="284"/>
          <w:tab w:val="left" w:pos="8520"/>
        </w:tabs>
        <w:autoSpaceDE w:val="0"/>
        <w:autoSpaceDN w:val="0"/>
        <w:adjustRightInd w:val="0"/>
        <w:spacing w:line="276" w:lineRule="auto"/>
        <w:ind w:left="284" w:right="141"/>
        <w:jc w:val="both"/>
        <w:rPr>
          <w:rFonts w:asciiTheme="minorHAnsi" w:hAnsiTheme="minorHAnsi" w:cs="Arial"/>
          <w:color w:val="0070C0"/>
          <w:sz w:val="18"/>
          <w:szCs w:val="18"/>
          <w:lang w:val="it-IT" w:eastAsia="ko-KR"/>
        </w:rPr>
      </w:pPr>
      <w:hyperlink r:id="rId11" w:history="1">
        <w:r w:rsidR="00B903B1" w:rsidRPr="00EE58EF">
          <w:rPr>
            <w:rFonts w:asciiTheme="minorHAnsi" w:hAnsiTheme="minorHAnsi" w:cs="Arial"/>
            <w:color w:val="0070C0"/>
            <w:sz w:val="18"/>
            <w:szCs w:val="18"/>
            <w:lang w:val="it-IT" w:eastAsia="ko-KR"/>
          </w:rPr>
          <w:t>office.it@prefa.com</w:t>
        </w:r>
      </w:hyperlink>
      <w:r w:rsidR="00B903B1" w:rsidRPr="00EE58EF">
        <w:rPr>
          <w:rFonts w:asciiTheme="minorHAnsi" w:hAnsiTheme="minorHAnsi" w:cs="Arial"/>
          <w:color w:val="0070C0"/>
          <w:sz w:val="18"/>
          <w:szCs w:val="18"/>
          <w:lang w:val="it-IT" w:eastAsia="ko-KR"/>
        </w:rPr>
        <w:t xml:space="preserve">  - </w:t>
      </w:r>
      <w:hyperlink r:id="rId12" w:history="1">
        <w:r w:rsidR="00624BC1" w:rsidRPr="00EE58EF">
          <w:rPr>
            <w:rStyle w:val="Collegamentoipertestuale"/>
            <w:rFonts w:asciiTheme="minorHAnsi" w:hAnsiTheme="minorHAnsi" w:cs="Arial"/>
            <w:sz w:val="18"/>
            <w:szCs w:val="18"/>
            <w:lang w:val="it-IT" w:eastAsia="ko-KR"/>
          </w:rPr>
          <w:t>www.prefa.it</w:t>
        </w:r>
      </w:hyperlink>
    </w:p>
    <w:p w14:paraId="2FF3AFD7" w14:textId="77777777" w:rsidR="00B903B1" w:rsidRPr="00EE58EF" w:rsidRDefault="00B903B1" w:rsidP="00DB445E">
      <w:pPr>
        <w:tabs>
          <w:tab w:val="left" w:pos="284"/>
          <w:tab w:val="left" w:pos="8520"/>
        </w:tabs>
        <w:autoSpaceDE w:val="0"/>
        <w:autoSpaceDN w:val="0"/>
        <w:adjustRightInd w:val="0"/>
        <w:spacing w:line="276" w:lineRule="auto"/>
        <w:ind w:left="284" w:right="141"/>
        <w:jc w:val="both"/>
        <w:rPr>
          <w:rFonts w:asciiTheme="minorHAnsi" w:eastAsia="Calibri" w:hAnsiTheme="minorHAnsi" w:cs="Arial"/>
          <w:b/>
          <w:i/>
          <w:sz w:val="22"/>
          <w:szCs w:val="22"/>
          <w:lang w:val="it-IT" w:eastAsia="en-US"/>
        </w:rPr>
      </w:pPr>
    </w:p>
    <w:p w14:paraId="2FE65C0C" w14:textId="6CFF85F6" w:rsidR="00DC6F25" w:rsidRPr="00B2474C" w:rsidRDefault="00DC6F25" w:rsidP="00DB445E">
      <w:pPr>
        <w:tabs>
          <w:tab w:val="left" w:pos="284"/>
          <w:tab w:val="left" w:pos="8520"/>
        </w:tabs>
        <w:autoSpaceDE w:val="0"/>
        <w:autoSpaceDN w:val="0"/>
        <w:adjustRightInd w:val="0"/>
        <w:spacing w:line="276" w:lineRule="auto"/>
        <w:ind w:left="284" w:right="141"/>
        <w:jc w:val="both"/>
        <w:rPr>
          <w:rFonts w:asciiTheme="minorHAnsi" w:hAnsiTheme="minorHAnsi" w:cs="Arial"/>
          <w:color w:val="0000FF"/>
          <w:sz w:val="20"/>
          <w:szCs w:val="20"/>
          <w:u w:val="single"/>
          <w:lang w:val="it-IT" w:eastAsia="ko-KR"/>
        </w:rPr>
      </w:pPr>
      <w:bookmarkStart w:id="0" w:name="_GoBack"/>
      <w:bookmarkEnd w:id="0"/>
    </w:p>
    <w:sectPr w:rsidR="00DC6F25" w:rsidRPr="00B2474C" w:rsidSect="002777ED">
      <w:headerReference w:type="default" r:id="rId13"/>
      <w:footerReference w:type="default" r:id="rId14"/>
      <w:type w:val="continuous"/>
      <w:pgSz w:w="11907" w:h="16840" w:code="9"/>
      <w:pgMar w:top="2269" w:right="1134" w:bottom="1701" w:left="1134" w:header="489" w:footer="196" w:gutter="0"/>
      <w:paperSrc w:first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5BA63" w14:textId="77777777" w:rsidR="00B24948" w:rsidRDefault="00B24948">
      <w:r>
        <w:separator/>
      </w:r>
    </w:p>
  </w:endnote>
  <w:endnote w:type="continuationSeparator" w:id="0">
    <w:p w14:paraId="2F2CB24C" w14:textId="77777777" w:rsidR="00B24948" w:rsidRDefault="00B2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NOT-CondBlack">
    <w:altName w:val="Gill Sans Ultra Bold Condensed"/>
    <w:panose1 w:val="00000000000000000000"/>
    <w:charset w:val="00"/>
    <w:family w:val="swiss"/>
    <w:notTrueType/>
    <w:pitch w:val="variable"/>
    <w:sig w:usb0="00000003" w:usb1="4000207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KZC V+ DIN Cond">
    <w:altName w:val="DIN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7CD82" w14:textId="77777777" w:rsidR="00893BC4" w:rsidRDefault="00893BC4" w:rsidP="00C03C5F">
    <w:pPr>
      <w:pStyle w:val="Pidipagina"/>
      <w:tabs>
        <w:tab w:val="left" w:pos="700"/>
      </w:tabs>
    </w:pPr>
    <w:r w:rsidRPr="00E27E4B">
      <w:rPr>
        <w:rFonts w:ascii="Arial" w:hAnsi="Arial" w:cs="Arial"/>
      </w:rPr>
      <w:t xml:space="preserve">    </w:t>
    </w:r>
    <w:r w:rsidR="00066981">
      <w:rPr>
        <w:rFonts w:ascii="Arial" w:hAnsi="Arial" w:cs="Arial"/>
        <w:noProof/>
        <w:lang w:val="de-AT" w:eastAsia="de-AT"/>
      </w:rPr>
      <w:drawing>
        <wp:inline distT="0" distB="0" distL="0" distR="0" wp14:anchorId="1EF9011A" wp14:editId="51ABFEC3">
          <wp:extent cx="6993890" cy="354330"/>
          <wp:effectExtent l="0" t="0" r="0" b="7620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3890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2370B" w14:textId="77777777" w:rsidR="00B24948" w:rsidRDefault="00B24948">
      <w:r>
        <w:separator/>
      </w:r>
    </w:p>
  </w:footnote>
  <w:footnote w:type="continuationSeparator" w:id="0">
    <w:p w14:paraId="78F2AEA1" w14:textId="77777777" w:rsidR="00B24948" w:rsidRDefault="00B2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E1579" w14:textId="77777777" w:rsidR="00893BC4" w:rsidRPr="00E27E4B" w:rsidRDefault="00893BC4" w:rsidP="00144B4D">
    <w:pPr>
      <w:pStyle w:val="Intestazione"/>
      <w:tabs>
        <w:tab w:val="left" w:pos="200"/>
      </w:tabs>
      <w:ind w:left="-900"/>
      <w:rPr>
        <w:rFonts w:ascii="Arial" w:hAnsi="Arial" w:cs="Arial"/>
      </w:rPr>
    </w:pPr>
    <w:r w:rsidRPr="00E27E4B">
      <w:rPr>
        <w:rFonts w:ascii="Arial" w:hAnsi="Arial" w:cs="Arial"/>
      </w:rPr>
      <w:t xml:space="preserve">               </w:t>
    </w:r>
    <w:r w:rsidR="00066981">
      <w:rPr>
        <w:rFonts w:ascii="Arial" w:hAnsi="Arial" w:cs="Arial"/>
        <w:noProof/>
        <w:lang w:val="de-AT" w:eastAsia="de-AT"/>
      </w:rPr>
      <w:drawing>
        <wp:inline distT="0" distB="0" distL="0" distR="0" wp14:anchorId="4C535607" wp14:editId="34183012">
          <wp:extent cx="3105785" cy="873125"/>
          <wp:effectExtent l="0" t="0" r="0" b="3175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785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 w15:restartNumberingAfterBreak="0">
    <w:nsid w:val="01E97B9D"/>
    <w:multiLevelType w:val="hybridMultilevel"/>
    <w:tmpl w:val="E1C84026"/>
    <w:lvl w:ilvl="0" w:tplc="699CEA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F7232"/>
    <w:multiLevelType w:val="hybridMultilevel"/>
    <w:tmpl w:val="79BC876E"/>
    <w:lvl w:ilvl="0" w:tplc="699CEA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60700"/>
    <w:multiLevelType w:val="hybridMultilevel"/>
    <w:tmpl w:val="7CD0D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864FA"/>
    <w:multiLevelType w:val="hybridMultilevel"/>
    <w:tmpl w:val="3E1AC84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725BDE"/>
    <w:multiLevelType w:val="hybridMultilevel"/>
    <w:tmpl w:val="32B222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0E2C40"/>
    <w:multiLevelType w:val="hybridMultilevel"/>
    <w:tmpl w:val="93F0F1DA"/>
    <w:lvl w:ilvl="0" w:tplc="181674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8A5C0C"/>
    <w:multiLevelType w:val="hybridMultilevel"/>
    <w:tmpl w:val="7708D0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263A4F"/>
    <w:multiLevelType w:val="hybridMultilevel"/>
    <w:tmpl w:val="44B415C8"/>
    <w:lvl w:ilvl="0" w:tplc="F8BCF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507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A4B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27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CC8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666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63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F03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F84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A6"/>
    <w:rsid w:val="00000E77"/>
    <w:rsid w:val="00003C26"/>
    <w:rsid w:val="00005216"/>
    <w:rsid w:val="00020B8B"/>
    <w:rsid w:val="00037E55"/>
    <w:rsid w:val="0004756B"/>
    <w:rsid w:val="0005633D"/>
    <w:rsid w:val="00060C38"/>
    <w:rsid w:val="00066215"/>
    <w:rsid w:val="00066981"/>
    <w:rsid w:val="0008408D"/>
    <w:rsid w:val="00084E54"/>
    <w:rsid w:val="00090B89"/>
    <w:rsid w:val="000929F9"/>
    <w:rsid w:val="0009545F"/>
    <w:rsid w:val="000A41F8"/>
    <w:rsid w:val="000B64BE"/>
    <w:rsid w:val="000C0510"/>
    <w:rsid w:val="000D0256"/>
    <w:rsid w:val="000D3CE2"/>
    <w:rsid w:val="000D6009"/>
    <w:rsid w:val="000E0433"/>
    <w:rsid w:val="000E10F3"/>
    <w:rsid w:val="000E1992"/>
    <w:rsid w:val="000E22D4"/>
    <w:rsid w:val="000F1EA3"/>
    <w:rsid w:val="000F5EFA"/>
    <w:rsid w:val="000F6B9D"/>
    <w:rsid w:val="00102B0C"/>
    <w:rsid w:val="00104B9E"/>
    <w:rsid w:val="0011004C"/>
    <w:rsid w:val="00112809"/>
    <w:rsid w:val="00115170"/>
    <w:rsid w:val="00121F11"/>
    <w:rsid w:val="0012747A"/>
    <w:rsid w:val="00130030"/>
    <w:rsid w:val="001314DF"/>
    <w:rsid w:val="00144B4D"/>
    <w:rsid w:val="00146B82"/>
    <w:rsid w:val="0015204B"/>
    <w:rsid w:val="00155899"/>
    <w:rsid w:val="00156BED"/>
    <w:rsid w:val="00161001"/>
    <w:rsid w:val="0016706A"/>
    <w:rsid w:val="001700A7"/>
    <w:rsid w:val="001747BD"/>
    <w:rsid w:val="00176463"/>
    <w:rsid w:val="00177676"/>
    <w:rsid w:val="00186A43"/>
    <w:rsid w:val="00193DAE"/>
    <w:rsid w:val="001A051D"/>
    <w:rsid w:val="001A49C2"/>
    <w:rsid w:val="001B302C"/>
    <w:rsid w:val="001B5706"/>
    <w:rsid w:val="001B6749"/>
    <w:rsid w:val="001B6D78"/>
    <w:rsid w:val="001C07E0"/>
    <w:rsid w:val="001C60A7"/>
    <w:rsid w:val="001D2FFC"/>
    <w:rsid w:val="001F0AE3"/>
    <w:rsid w:val="001F18B8"/>
    <w:rsid w:val="001F1EC5"/>
    <w:rsid w:val="001F45B8"/>
    <w:rsid w:val="001F7D26"/>
    <w:rsid w:val="00213DAD"/>
    <w:rsid w:val="00223B89"/>
    <w:rsid w:val="002256C9"/>
    <w:rsid w:val="002332A2"/>
    <w:rsid w:val="002401BD"/>
    <w:rsid w:val="0024140B"/>
    <w:rsid w:val="00241C0C"/>
    <w:rsid w:val="00244B7C"/>
    <w:rsid w:val="00250A54"/>
    <w:rsid w:val="0026052C"/>
    <w:rsid w:val="00261541"/>
    <w:rsid w:val="00267F4F"/>
    <w:rsid w:val="002764AB"/>
    <w:rsid w:val="002777ED"/>
    <w:rsid w:val="00286EF1"/>
    <w:rsid w:val="002946CB"/>
    <w:rsid w:val="00295AB2"/>
    <w:rsid w:val="00297845"/>
    <w:rsid w:val="002A6672"/>
    <w:rsid w:val="002B05B3"/>
    <w:rsid w:val="002B7F1D"/>
    <w:rsid w:val="002D0A99"/>
    <w:rsid w:val="002D3B3A"/>
    <w:rsid w:val="002E675D"/>
    <w:rsid w:val="002F2CF5"/>
    <w:rsid w:val="00300CAA"/>
    <w:rsid w:val="00300F4B"/>
    <w:rsid w:val="00303C25"/>
    <w:rsid w:val="0031355A"/>
    <w:rsid w:val="003148F1"/>
    <w:rsid w:val="003170B6"/>
    <w:rsid w:val="003176CF"/>
    <w:rsid w:val="00321893"/>
    <w:rsid w:val="00322598"/>
    <w:rsid w:val="00331AE8"/>
    <w:rsid w:val="00331C92"/>
    <w:rsid w:val="00350AC5"/>
    <w:rsid w:val="00351F93"/>
    <w:rsid w:val="00360518"/>
    <w:rsid w:val="0036080B"/>
    <w:rsid w:val="00361492"/>
    <w:rsid w:val="00362A27"/>
    <w:rsid w:val="00364F56"/>
    <w:rsid w:val="00365EE7"/>
    <w:rsid w:val="00366D72"/>
    <w:rsid w:val="0037315D"/>
    <w:rsid w:val="00373250"/>
    <w:rsid w:val="00373343"/>
    <w:rsid w:val="00381697"/>
    <w:rsid w:val="00386C75"/>
    <w:rsid w:val="0039219F"/>
    <w:rsid w:val="003957AC"/>
    <w:rsid w:val="003A7142"/>
    <w:rsid w:val="003B30D1"/>
    <w:rsid w:val="003C1BE5"/>
    <w:rsid w:val="003C38E4"/>
    <w:rsid w:val="003C6C7E"/>
    <w:rsid w:val="003C7FB1"/>
    <w:rsid w:val="003D09BF"/>
    <w:rsid w:val="003E2ADF"/>
    <w:rsid w:val="003E39B0"/>
    <w:rsid w:val="003E5CC9"/>
    <w:rsid w:val="003F47C7"/>
    <w:rsid w:val="003F4DDE"/>
    <w:rsid w:val="003F6489"/>
    <w:rsid w:val="00413FDB"/>
    <w:rsid w:val="004164F0"/>
    <w:rsid w:val="0042761D"/>
    <w:rsid w:val="00433BCD"/>
    <w:rsid w:val="00445F92"/>
    <w:rsid w:val="00461289"/>
    <w:rsid w:val="0046275B"/>
    <w:rsid w:val="004676EA"/>
    <w:rsid w:val="00471632"/>
    <w:rsid w:val="004917BD"/>
    <w:rsid w:val="00492414"/>
    <w:rsid w:val="00494A33"/>
    <w:rsid w:val="004A4283"/>
    <w:rsid w:val="004A71E5"/>
    <w:rsid w:val="004B20F1"/>
    <w:rsid w:val="004B4931"/>
    <w:rsid w:val="004C11A8"/>
    <w:rsid w:val="004C4DBB"/>
    <w:rsid w:val="004C5C3C"/>
    <w:rsid w:val="004C6402"/>
    <w:rsid w:val="004C7874"/>
    <w:rsid w:val="004D148A"/>
    <w:rsid w:val="004D2EAA"/>
    <w:rsid w:val="004E4AA1"/>
    <w:rsid w:val="004F0A07"/>
    <w:rsid w:val="004F1CC3"/>
    <w:rsid w:val="00532596"/>
    <w:rsid w:val="00532A92"/>
    <w:rsid w:val="00552D6E"/>
    <w:rsid w:val="005654AA"/>
    <w:rsid w:val="00566978"/>
    <w:rsid w:val="00566C41"/>
    <w:rsid w:val="00581CBB"/>
    <w:rsid w:val="0058227C"/>
    <w:rsid w:val="00583984"/>
    <w:rsid w:val="00584AAF"/>
    <w:rsid w:val="005938F7"/>
    <w:rsid w:val="00594AC6"/>
    <w:rsid w:val="005A0BAB"/>
    <w:rsid w:val="005A5EB8"/>
    <w:rsid w:val="005B3B1C"/>
    <w:rsid w:val="005B45CA"/>
    <w:rsid w:val="005B4D97"/>
    <w:rsid w:val="005C7ECE"/>
    <w:rsid w:val="005D4EFE"/>
    <w:rsid w:val="005D76FD"/>
    <w:rsid w:val="005E0667"/>
    <w:rsid w:val="005F2789"/>
    <w:rsid w:val="005F69FB"/>
    <w:rsid w:val="005F7459"/>
    <w:rsid w:val="00601E50"/>
    <w:rsid w:val="00603516"/>
    <w:rsid w:val="00603AF4"/>
    <w:rsid w:val="0060451E"/>
    <w:rsid w:val="00607FB7"/>
    <w:rsid w:val="0061595D"/>
    <w:rsid w:val="00621127"/>
    <w:rsid w:val="00624BC1"/>
    <w:rsid w:val="00624D41"/>
    <w:rsid w:val="00630A1D"/>
    <w:rsid w:val="006338FC"/>
    <w:rsid w:val="0063540B"/>
    <w:rsid w:val="00641332"/>
    <w:rsid w:val="00643A83"/>
    <w:rsid w:val="00644121"/>
    <w:rsid w:val="00644861"/>
    <w:rsid w:val="0064745A"/>
    <w:rsid w:val="00655265"/>
    <w:rsid w:val="00657136"/>
    <w:rsid w:val="00657202"/>
    <w:rsid w:val="006A32C7"/>
    <w:rsid w:val="006A6949"/>
    <w:rsid w:val="006A6E9C"/>
    <w:rsid w:val="006B0A61"/>
    <w:rsid w:val="006B6ACB"/>
    <w:rsid w:val="006C064B"/>
    <w:rsid w:val="006C5E59"/>
    <w:rsid w:val="006C707E"/>
    <w:rsid w:val="006D78B8"/>
    <w:rsid w:val="006E168E"/>
    <w:rsid w:val="006E53A1"/>
    <w:rsid w:val="007022A8"/>
    <w:rsid w:val="00707DB8"/>
    <w:rsid w:val="00721C6D"/>
    <w:rsid w:val="00724CE7"/>
    <w:rsid w:val="007317C2"/>
    <w:rsid w:val="00740031"/>
    <w:rsid w:val="0074484A"/>
    <w:rsid w:val="00754D78"/>
    <w:rsid w:val="0077196E"/>
    <w:rsid w:val="00774592"/>
    <w:rsid w:val="00776FC1"/>
    <w:rsid w:val="007770C1"/>
    <w:rsid w:val="00783961"/>
    <w:rsid w:val="00793DF9"/>
    <w:rsid w:val="007B68A9"/>
    <w:rsid w:val="007C7516"/>
    <w:rsid w:val="007D1181"/>
    <w:rsid w:val="007D37EF"/>
    <w:rsid w:val="007D4106"/>
    <w:rsid w:val="007E133B"/>
    <w:rsid w:val="007E62A5"/>
    <w:rsid w:val="007F10A0"/>
    <w:rsid w:val="00801A69"/>
    <w:rsid w:val="0080625C"/>
    <w:rsid w:val="0080775D"/>
    <w:rsid w:val="008136DF"/>
    <w:rsid w:val="008158FC"/>
    <w:rsid w:val="00823732"/>
    <w:rsid w:val="00823A7D"/>
    <w:rsid w:val="00824FD0"/>
    <w:rsid w:val="008255B0"/>
    <w:rsid w:val="0082799B"/>
    <w:rsid w:val="00834466"/>
    <w:rsid w:val="00840F73"/>
    <w:rsid w:val="00841B56"/>
    <w:rsid w:val="00842FAC"/>
    <w:rsid w:val="0085146D"/>
    <w:rsid w:val="00857009"/>
    <w:rsid w:val="00857D1C"/>
    <w:rsid w:val="00864A2B"/>
    <w:rsid w:val="00870A05"/>
    <w:rsid w:val="00874BCD"/>
    <w:rsid w:val="00893BC4"/>
    <w:rsid w:val="008B2BA5"/>
    <w:rsid w:val="008B71B1"/>
    <w:rsid w:val="008C01F5"/>
    <w:rsid w:val="008C4048"/>
    <w:rsid w:val="008C5B38"/>
    <w:rsid w:val="008D07ED"/>
    <w:rsid w:val="008D4961"/>
    <w:rsid w:val="008D79EA"/>
    <w:rsid w:val="008E27A1"/>
    <w:rsid w:val="008E6F17"/>
    <w:rsid w:val="008F4257"/>
    <w:rsid w:val="008F42BC"/>
    <w:rsid w:val="009011B4"/>
    <w:rsid w:val="00904C03"/>
    <w:rsid w:val="00913E91"/>
    <w:rsid w:val="009275A6"/>
    <w:rsid w:val="00932484"/>
    <w:rsid w:val="009407AE"/>
    <w:rsid w:val="00942B8F"/>
    <w:rsid w:val="00944068"/>
    <w:rsid w:val="00944E69"/>
    <w:rsid w:val="00947987"/>
    <w:rsid w:val="00954390"/>
    <w:rsid w:val="00964F97"/>
    <w:rsid w:val="00970D41"/>
    <w:rsid w:val="00974117"/>
    <w:rsid w:val="0097696F"/>
    <w:rsid w:val="009A38AF"/>
    <w:rsid w:val="009B1AB3"/>
    <w:rsid w:val="009C093A"/>
    <w:rsid w:val="009D64C7"/>
    <w:rsid w:val="009E02BF"/>
    <w:rsid w:val="009E1428"/>
    <w:rsid w:val="009E1E85"/>
    <w:rsid w:val="009E4319"/>
    <w:rsid w:val="009E5CD4"/>
    <w:rsid w:val="009F4D07"/>
    <w:rsid w:val="00A13F1B"/>
    <w:rsid w:val="00A2221C"/>
    <w:rsid w:val="00A22A0E"/>
    <w:rsid w:val="00A2649B"/>
    <w:rsid w:val="00A37CCA"/>
    <w:rsid w:val="00A4617D"/>
    <w:rsid w:val="00A5475A"/>
    <w:rsid w:val="00A54B04"/>
    <w:rsid w:val="00A73A27"/>
    <w:rsid w:val="00A749B7"/>
    <w:rsid w:val="00A77BC8"/>
    <w:rsid w:val="00A81D3A"/>
    <w:rsid w:val="00A82CAC"/>
    <w:rsid w:val="00A83606"/>
    <w:rsid w:val="00A96035"/>
    <w:rsid w:val="00AA3041"/>
    <w:rsid w:val="00AB43ED"/>
    <w:rsid w:val="00AB77F7"/>
    <w:rsid w:val="00AC315A"/>
    <w:rsid w:val="00AC5CB5"/>
    <w:rsid w:val="00AD2ECE"/>
    <w:rsid w:val="00AD3BB8"/>
    <w:rsid w:val="00AE0802"/>
    <w:rsid w:val="00AF3350"/>
    <w:rsid w:val="00B02351"/>
    <w:rsid w:val="00B036FA"/>
    <w:rsid w:val="00B0394D"/>
    <w:rsid w:val="00B045D3"/>
    <w:rsid w:val="00B211DB"/>
    <w:rsid w:val="00B21CF1"/>
    <w:rsid w:val="00B23E30"/>
    <w:rsid w:val="00B23F24"/>
    <w:rsid w:val="00B2474C"/>
    <w:rsid w:val="00B24948"/>
    <w:rsid w:val="00B26257"/>
    <w:rsid w:val="00B27F67"/>
    <w:rsid w:val="00B335B5"/>
    <w:rsid w:val="00B50539"/>
    <w:rsid w:val="00B52171"/>
    <w:rsid w:val="00B5372E"/>
    <w:rsid w:val="00B54430"/>
    <w:rsid w:val="00B56879"/>
    <w:rsid w:val="00B609AA"/>
    <w:rsid w:val="00B61E90"/>
    <w:rsid w:val="00B653D1"/>
    <w:rsid w:val="00B661BF"/>
    <w:rsid w:val="00B7298D"/>
    <w:rsid w:val="00B72CD7"/>
    <w:rsid w:val="00B762D3"/>
    <w:rsid w:val="00B87B57"/>
    <w:rsid w:val="00B903B1"/>
    <w:rsid w:val="00B904BC"/>
    <w:rsid w:val="00B958E3"/>
    <w:rsid w:val="00B96E61"/>
    <w:rsid w:val="00BA0102"/>
    <w:rsid w:val="00BA67C9"/>
    <w:rsid w:val="00BB0646"/>
    <w:rsid w:val="00BB223C"/>
    <w:rsid w:val="00BB662E"/>
    <w:rsid w:val="00BC02A7"/>
    <w:rsid w:val="00BC3996"/>
    <w:rsid w:val="00BC7C99"/>
    <w:rsid w:val="00BD7224"/>
    <w:rsid w:val="00BE2FE7"/>
    <w:rsid w:val="00BE50FA"/>
    <w:rsid w:val="00BF00B1"/>
    <w:rsid w:val="00C01490"/>
    <w:rsid w:val="00C022C4"/>
    <w:rsid w:val="00C03C5F"/>
    <w:rsid w:val="00C05B2E"/>
    <w:rsid w:val="00C0616E"/>
    <w:rsid w:val="00C07856"/>
    <w:rsid w:val="00C15B8D"/>
    <w:rsid w:val="00C15F2E"/>
    <w:rsid w:val="00C16958"/>
    <w:rsid w:val="00C16BB9"/>
    <w:rsid w:val="00C17435"/>
    <w:rsid w:val="00C256D0"/>
    <w:rsid w:val="00C4324E"/>
    <w:rsid w:val="00C456E6"/>
    <w:rsid w:val="00C45B2A"/>
    <w:rsid w:val="00C4702C"/>
    <w:rsid w:val="00C55732"/>
    <w:rsid w:val="00C56963"/>
    <w:rsid w:val="00C606C5"/>
    <w:rsid w:val="00C61A65"/>
    <w:rsid w:val="00C6310B"/>
    <w:rsid w:val="00C66013"/>
    <w:rsid w:val="00C6698D"/>
    <w:rsid w:val="00C67E95"/>
    <w:rsid w:val="00C72C78"/>
    <w:rsid w:val="00C76796"/>
    <w:rsid w:val="00C908F9"/>
    <w:rsid w:val="00C935EB"/>
    <w:rsid w:val="00C97408"/>
    <w:rsid w:val="00CA479E"/>
    <w:rsid w:val="00CB2F18"/>
    <w:rsid w:val="00CC547A"/>
    <w:rsid w:val="00CD1C87"/>
    <w:rsid w:val="00CD264E"/>
    <w:rsid w:val="00CD6BCC"/>
    <w:rsid w:val="00CE161C"/>
    <w:rsid w:val="00CE3105"/>
    <w:rsid w:val="00CF26AE"/>
    <w:rsid w:val="00CF564F"/>
    <w:rsid w:val="00D00AA9"/>
    <w:rsid w:val="00D01BC1"/>
    <w:rsid w:val="00D0321F"/>
    <w:rsid w:val="00D04C03"/>
    <w:rsid w:val="00D0633F"/>
    <w:rsid w:val="00D10A3E"/>
    <w:rsid w:val="00D11827"/>
    <w:rsid w:val="00D34D9B"/>
    <w:rsid w:val="00D43282"/>
    <w:rsid w:val="00D54357"/>
    <w:rsid w:val="00D55775"/>
    <w:rsid w:val="00D5664D"/>
    <w:rsid w:val="00D6551E"/>
    <w:rsid w:val="00D716B2"/>
    <w:rsid w:val="00D71A33"/>
    <w:rsid w:val="00D7281D"/>
    <w:rsid w:val="00D76895"/>
    <w:rsid w:val="00D808CB"/>
    <w:rsid w:val="00D865D1"/>
    <w:rsid w:val="00DA1113"/>
    <w:rsid w:val="00DA1B75"/>
    <w:rsid w:val="00DA59A6"/>
    <w:rsid w:val="00DB445E"/>
    <w:rsid w:val="00DC449E"/>
    <w:rsid w:val="00DC6F25"/>
    <w:rsid w:val="00DD7360"/>
    <w:rsid w:val="00DF3A8E"/>
    <w:rsid w:val="00E159B4"/>
    <w:rsid w:val="00E20613"/>
    <w:rsid w:val="00E21AB1"/>
    <w:rsid w:val="00E27E4B"/>
    <w:rsid w:val="00E329E0"/>
    <w:rsid w:val="00E43AAC"/>
    <w:rsid w:val="00E44B97"/>
    <w:rsid w:val="00E60A5F"/>
    <w:rsid w:val="00E63F53"/>
    <w:rsid w:val="00E65E67"/>
    <w:rsid w:val="00E81855"/>
    <w:rsid w:val="00E91783"/>
    <w:rsid w:val="00E930A4"/>
    <w:rsid w:val="00E94EA9"/>
    <w:rsid w:val="00EA39AE"/>
    <w:rsid w:val="00EB2969"/>
    <w:rsid w:val="00EC214F"/>
    <w:rsid w:val="00EC5ECF"/>
    <w:rsid w:val="00EC5F4C"/>
    <w:rsid w:val="00EC7684"/>
    <w:rsid w:val="00EE0A53"/>
    <w:rsid w:val="00EE39A3"/>
    <w:rsid w:val="00EE58EF"/>
    <w:rsid w:val="00EF0B01"/>
    <w:rsid w:val="00EF48CD"/>
    <w:rsid w:val="00F10DB2"/>
    <w:rsid w:val="00F14347"/>
    <w:rsid w:val="00F214E4"/>
    <w:rsid w:val="00F254D1"/>
    <w:rsid w:val="00F32D2A"/>
    <w:rsid w:val="00F3444E"/>
    <w:rsid w:val="00F35798"/>
    <w:rsid w:val="00F404AB"/>
    <w:rsid w:val="00F40A56"/>
    <w:rsid w:val="00F461C6"/>
    <w:rsid w:val="00F51942"/>
    <w:rsid w:val="00F53B94"/>
    <w:rsid w:val="00F55016"/>
    <w:rsid w:val="00F6151F"/>
    <w:rsid w:val="00F61832"/>
    <w:rsid w:val="00F61D66"/>
    <w:rsid w:val="00F624E2"/>
    <w:rsid w:val="00F726A7"/>
    <w:rsid w:val="00F760E3"/>
    <w:rsid w:val="00F76BE1"/>
    <w:rsid w:val="00F7749B"/>
    <w:rsid w:val="00F82DEA"/>
    <w:rsid w:val="00F84B36"/>
    <w:rsid w:val="00F9124D"/>
    <w:rsid w:val="00FA192B"/>
    <w:rsid w:val="00FB1B38"/>
    <w:rsid w:val="00FB1E68"/>
    <w:rsid w:val="00FB3E13"/>
    <w:rsid w:val="00FB7096"/>
    <w:rsid w:val="00FB7C9E"/>
    <w:rsid w:val="00FD12DB"/>
    <w:rsid w:val="00FD56AC"/>
    <w:rsid w:val="00FE0FFC"/>
    <w:rsid w:val="00FE3E64"/>
    <w:rsid w:val="00FF4CFB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5F0AE45"/>
  <w15:docId w15:val="{3D921B1B-FDB5-47DF-88E2-AE1613C5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445E"/>
    <w:rPr>
      <w:sz w:val="24"/>
      <w:szCs w:val="24"/>
      <w:lang w:val="de-DE" w:eastAsia="de-DE"/>
    </w:rPr>
  </w:style>
  <w:style w:type="paragraph" w:styleId="Titolo1">
    <w:name w:val="heading 1"/>
    <w:basedOn w:val="Normale"/>
    <w:next w:val="Normale"/>
    <w:qFormat/>
    <w:pPr>
      <w:keepNext/>
      <w:tabs>
        <w:tab w:val="left" w:pos="600"/>
      </w:tabs>
      <w:ind w:left="240"/>
      <w:jc w:val="both"/>
      <w:outlineLvl w:val="0"/>
    </w:pPr>
    <w:rPr>
      <w:rFonts w:ascii="DINOT-CondBlack" w:hAnsi="DINOT-CondBlack" w:cs="Arial"/>
      <w:b/>
      <w:sz w:val="22"/>
      <w:szCs w:val="22"/>
      <w:lang w:val="fr-FR"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E6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C01490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536"/>
        <w:tab w:val="right" w:pos="9072"/>
      </w:tabs>
    </w:pPr>
    <w:rPr>
      <w:lang w:val="it-IT" w:eastAsia="it-IT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  <w:rPr>
      <w:lang w:val="it-IT" w:eastAsia="it-IT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ind w:right="98"/>
      <w:jc w:val="both"/>
    </w:pPr>
    <w:rPr>
      <w:rFonts w:ascii="Arial" w:hAnsi="Arial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rsid w:val="00250A5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250A54"/>
    <w:rPr>
      <w:rFonts w:ascii="Tahoma" w:hAnsi="Tahoma" w:cs="Tahoma"/>
      <w:sz w:val="16"/>
      <w:szCs w:val="16"/>
      <w:lang w:val="de-DE" w:eastAsia="de-DE"/>
    </w:rPr>
  </w:style>
  <w:style w:type="paragraph" w:styleId="Paragrafoelenco">
    <w:name w:val="List Paragraph"/>
    <w:basedOn w:val="Normale"/>
    <w:uiPriority w:val="34"/>
    <w:qFormat/>
    <w:rsid w:val="00F40A56"/>
    <w:pPr>
      <w:ind w:left="720"/>
    </w:pPr>
    <w:rPr>
      <w:rFonts w:ascii="Calibri" w:eastAsia="Calibri" w:hAnsi="Calibri" w:cs="Calibri"/>
      <w:sz w:val="22"/>
      <w:szCs w:val="22"/>
      <w:lang w:val="it-IT" w:eastAsia="it-IT"/>
    </w:rPr>
  </w:style>
  <w:style w:type="character" w:customStyle="1" w:styleId="Titolo7Carattere">
    <w:name w:val="Titolo 7 Carattere"/>
    <w:link w:val="Titolo7"/>
    <w:semiHidden/>
    <w:rsid w:val="00C01490"/>
    <w:rPr>
      <w:rFonts w:ascii="Calibri" w:eastAsia="Times New Roman" w:hAnsi="Calibri" w:cs="Times New Roman"/>
      <w:sz w:val="24"/>
      <w:szCs w:val="24"/>
      <w:lang w:val="de-DE" w:eastAsia="de-DE"/>
    </w:rPr>
  </w:style>
  <w:style w:type="paragraph" w:styleId="Elenco">
    <w:name w:val="List"/>
    <w:basedOn w:val="Corpotesto"/>
    <w:rsid w:val="003B30D1"/>
    <w:pPr>
      <w:suppressAutoHyphens/>
      <w:spacing w:before="280" w:after="280"/>
      <w:ind w:right="0"/>
      <w:jc w:val="left"/>
    </w:pPr>
    <w:rPr>
      <w:rFonts w:ascii="Times New Roman" w:hAnsi="Times New Roman" w:cs="Tahoma"/>
      <w:szCs w:val="24"/>
      <w:lang w:val="de-DE" w:eastAsia="ar-SA"/>
    </w:rPr>
  </w:style>
  <w:style w:type="paragraph" w:styleId="NormaleWeb">
    <w:name w:val="Normal (Web)"/>
    <w:basedOn w:val="Normale"/>
    <w:uiPriority w:val="99"/>
    <w:rsid w:val="003E2ADF"/>
    <w:pPr>
      <w:spacing w:before="100" w:beforeAutospacing="1" w:after="100" w:afterAutospacing="1"/>
    </w:pPr>
    <w:rPr>
      <w:lang w:val="it-IT" w:eastAsia="it-IT"/>
    </w:rPr>
  </w:style>
  <w:style w:type="paragraph" w:customStyle="1" w:styleId="Pa4">
    <w:name w:val="Pa4"/>
    <w:basedOn w:val="Normale"/>
    <w:next w:val="Normale"/>
    <w:uiPriority w:val="99"/>
    <w:rsid w:val="0026052C"/>
    <w:pPr>
      <w:autoSpaceDE w:val="0"/>
      <w:autoSpaceDN w:val="0"/>
      <w:adjustRightInd w:val="0"/>
      <w:spacing w:line="241" w:lineRule="atLeast"/>
    </w:pPr>
    <w:rPr>
      <w:rFonts w:ascii="AMKZC V+ DIN Cond" w:hAnsi="AMKZC V+ DIN Cond"/>
      <w:lang w:val="it-IT" w:eastAsia="it-IT"/>
    </w:rPr>
  </w:style>
  <w:style w:type="character" w:customStyle="1" w:styleId="apple-converted-space">
    <w:name w:val="apple-converted-space"/>
    <w:rsid w:val="00E65E67"/>
  </w:style>
  <w:style w:type="character" w:customStyle="1" w:styleId="IntestazioneCarattere">
    <w:name w:val="Intestazione Carattere"/>
    <w:link w:val="Intestazione"/>
    <w:rsid w:val="00E65E67"/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01E5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870A05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870A0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870A05"/>
    <w:rPr>
      <w:lang w:val="de-DE" w:eastAsia="de-DE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70A0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70A05"/>
    <w:rPr>
      <w:b/>
      <w:bCs/>
      <w:lang w:val="de-DE" w:eastAsia="de-D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24BC1"/>
    <w:rPr>
      <w:color w:val="605E5C"/>
      <w:shd w:val="clear" w:color="auto" w:fill="E1DFDD"/>
    </w:rPr>
  </w:style>
  <w:style w:type="table" w:styleId="Sfondochiaro-Colore2">
    <w:name w:val="Light Shading Accent 2"/>
    <w:basedOn w:val="Tabellanormale"/>
    <w:uiPriority w:val="60"/>
    <w:rsid w:val="000D600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Enfasigrassetto">
    <w:name w:val="Strong"/>
    <w:basedOn w:val="Carpredefinitoparagrafo"/>
    <w:uiPriority w:val="22"/>
    <w:qFormat/>
    <w:rsid w:val="002946CB"/>
    <w:rPr>
      <w:b/>
      <w:bCs/>
    </w:rPr>
  </w:style>
  <w:style w:type="paragraph" w:customStyle="1" w:styleId="entrysubtitle">
    <w:name w:val="entry_subtitle"/>
    <w:basedOn w:val="Normale"/>
    <w:rsid w:val="008E6F17"/>
    <w:pPr>
      <w:spacing w:before="100" w:beforeAutospacing="1" w:after="100" w:afterAutospacing="1"/>
    </w:pPr>
    <w:rPr>
      <w:lang w:val="it-IT" w:eastAsia="it-IT"/>
    </w:rPr>
  </w:style>
  <w:style w:type="character" w:customStyle="1" w:styleId="entryauthor">
    <w:name w:val="entry_author"/>
    <w:basedOn w:val="Carpredefinitoparagrafo"/>
    <w:rsid w:val="008E6F17"/>
  </w:style>
  <w:style w:type="character" w:customStyle="1" w:styleId="entrydate">
    <w:name w:val="entry_date"/>
    <w:basedOn w:val="Carpredefinitoparagrafo"/>
    <w:rsid w:val="008E6F17"/>
  </w:style>
  <w:style w:type="character" w:customStyle="1" w:styleId="Titolo2Carattere">
    <w:name w:val="Titolo 2 Carattere"/>
    <w:basedOn w:val="Carpredefinitoparagrafo"/>
    <w:link w:val="Titolo2"/>
    <w:semiHidden/>
    <w:rsid w:val="008E6F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1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0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ref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.it@prefa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3B056C881AA94F890C4AFEE198E895" ma:contentTypeVersion="8" ma:contentTypeDescription="Ein neues Dokument erstellen." ma:contentTypeScope="" ma:versionID="d7af7325c81bfe290cc6b64e64190918">
  <xsd:schema xmlns:xsd="http://www.w3.org/2001/XMLSchema" xmlns:xs="http://www.w3.org/2001/XMLSchema" xmlns:p="http://schemas.microsoft.com/office/2006/metadata/properties" xmlns:ns2="e3043f50-4551-494c-8314-fd32950e204d" targetNamespace="http://schemas.microsoft.com/office/2006/metadata/properties" ma:root="true" ma:fieldsID="52b8c2a881e645991c2b12c30fe5f1d4" ns2:_="">
    <xsd:import namespace="e3043f50-4551-494c-8314-fd32950e20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43f50-4551-494c-8314-fd32950e2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D113F-08FC-4690-821F-D7C047969F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A69639-90CC-459A-A2F0-06531A9F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43f50-4551-494c-8314-fd32950e2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0914B3-0148-469C-9211-4D62C6BAE9E4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e3043f50-4551-494c-8314-fd32950e204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425749D-5E29-4338-8295-60D07C31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4637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Bolzano, giovedì 7 ottobre 2010</vt:lpstr>
      <vt:lpstr>Bolzano, giovedì 7 ottobre 2010</vt:lpstr>
    </vt:vector>
  </TitlesOfParts>
  <Company>alpewa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Bolzano, giovedì 7 ottobre 2010</dc:title>
  <dc:creator>carcione</dc:creator>
  <cp:lastModifiedBy>Paternoster Laura</cp:lastModifiedBy>
  <cp:revision>2</cp:revision>
  <cp:lastPrinted>2019-11-19T15:53:00Z</cp:lastPrinted>
  <dcterms:created xsi:type="dcterms:W3CDTF">2020-01-30T10:52:00Z</dcterms:created>
  <dcterms:modified xsi:type="dcterms:W3CDTF">2020-01-30T10:52:00Z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0x010100493B056C881AA94F890C4AFEE198E895</vt:lpwstr>
  </property>
</Properties>
</file>