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BF" w:rsidRPr="00164F41" w:rsidRDefault="003119BF" w:rsidP="00F26097">
      <w:pPr>
        <w:spacing w:after="120"/>
        <w:ind w:left="284" w:right="141"/>
        <w:jc w:val="both"/>
        <w:rPr>
          <w:rFonts w:ascii="Calibri" w:hAnsi="Calibri" w:cs="Arial"/>
          <w:b/>
          <w:bCs/>
          <w:sz w:val="32"/>
          <w:szCs w:val="32"/>
          <w:lang w:val="it-IT"/>
        </w:rPr>
      </w:pPr>
    </w:p>
    <w:p w:rsidR="003119BF" w:rsidRPr="00164F41" w:rsidRDefault="003119BF" w:rsidP="00F26097">
      <w:pPr>
        <w:spacing w:after="120"/>
        <w:ind w:left="284" w:right="141"/>
        <w:jc w:val="both"/>
        <w:rPr>
          <w:rFonts w:ascii="Calibri" w:hAnsi="Calibri" w:cs="Arial"/>
          <w:b/>
          <w:bCs/>
          <w:sz w:val="32"/>
          <w:szCs w:val="32"/>
          <w:lang w:val="it-IT"/>
        </w:rPr>
      </w:pPr>
      <w:r w:rsidRPr="00164F41">
        <w:rPr>
          <w:rFonts w:ascii="Calibri" w:hAnsi="Calibri" w:cs="Arial"/>
          <w:b/>
          <w:bCs/>
          <w:sz w:val="32"/>
          <w:szCs w:val="32"/>
          <w:lang w:val="it-IT"/>
        </w:rPr>
        <w:t xml:space="preserve">Esperienza d’alta quota: il nuovo ristorante sull’Alpe Cermis con i rivestimenti </w:t>
      </w:r>
      <w:proofErr w:type="spellStart"/>
      <w:r w:rsidRPr="00164F41">
        <w:rPr>
          <w:rFonts w:ascii="Calibri" w:hAnsi="Calibri" w:cs="Arial"/>
          <w:b/>
          <w:bCs/>
          <w:sz w:val="32"/>
          <w:szCs w:val="32"/>
          <w:lang w:val="it-IT"/>
        </w:rPr>
        <w:t>Prefalz</w:t>
      </w:r>
      <w:proofErr w:type="spellEnd"/>
      <w:r w:rsidRPr="00164F41">
        <w:rPr>
          <w:rFonts w:ascii="Calibri" w:hAnsi="Calibri" w:cs="Arial"/>
          <w:b/>
          <w:bCs/>
          <w:sz w:val="32"/>
          <w:szCs w:val="32"/>
          <w:lang w:val="it-IT"/>
        </w:rPr>
        <w:t xml:space="preserve"> di PREFA </w:t>
      </w:r>
    </w:p>
    <w:p w:rsidR="003119BF" w:rsidRPr="00164F41" w:rsidRDefault="003119BF" w:rsidP="003D144E">
      <w:pPr>
        <w:tabs>
          <w:tab w:val="left" w:pos="567"/>
          <w:tab w:val="left" w:pos="600"/>
        </w:tabs>
        <w:spacing w:line="288" w:lineRule="auto"/>
        <w:ind w:left="567" w:right="141"/>
        <w:rPr>
          <w:rFonts w:ascii="Calibri" w:hAnsi="Calibri" w:cs="Arial"/>
          <w:b/>
          <w:sz w:val="22"/>
          <w:szCs w:val="22"/>
          <w:lang w:val="it-IT"/>
        </w:rPr>
      </w:pPr>
    </w:p>
    <w:p w:rsidR="003119BF" w:rsidRPr="00164F41" w:rsidRDefault="003119BF" w:rsidP="008D708B">
      <w:pPr>
        <w:tabs>
          <w:tab w:val="left" w:pos="567"/>
          <w:tab w:val="left" w:pos="600"/>
        </w:tabs>
        <w:spacing w:line="288" w:lineRule="auto"/>
        <w:ind w:left="567" w:right="141"/>
        <w:rPr>
          <w:rFonts w:ascii="Calibri" w:hAnsi="Calibri" w:cs="Arial"/>
          <w:sz w:val="22"/>
          <w:szCs w:val="22"/>
          <w:lang w:val="it-IT"/>
        </w:rPr>
      </w:pPr>
      <w:r w:rsidRPr="00164F41">
        <w:rPr>
          <w:rFonts w:ascii="Calibri" w:hAnsi="Calibri" w:cs="Arial"/>
          <w:b/>
          <w:sz w:val="22"/>
          <w:szCs w:val="22"/>
          <w:lang w:val="it-IT"/>
        </w:rPr>
        <w:t>Progetto:</w:t>
      </w:r>
      <w:r w:rsidRPr="00164F41">
        <w:rPr>
          <w:rFonts w:ascii="Calibri" w:hAnsi="Calibri" w:cs="Arial"/>
          <w:sz w:val="22"/>
          <w:szCs w:val="22"/>
          <w:lang w:val="it-IT"/>
        </w:rPr>
        <w:t xml:space="preserve"> Nuovo ristorante LO CHALET sull’Alpe Cermis</w:t>
      </w:r>
      <w:r w:rsidRPr="00164F41">
        <w:rPr>
          <w:rFonts w:ascii="Calibri" w:hAnsi="Calibri" w:cs="Arial"/>
          <w:sz w:val="22"/>
          <w:szCs w:val="22"/>
          <w:lang w:val="it-IT"/>
        </w:rPr>
        <w:br/>
      </w:r>
      <w:r w:rsidRPr="00164F41">
        <w:rPr>
          <w:rFonts w:ascii="Calibri" w:hAnsi="Calibri" w:cs="Arial"/>
          <w:b/>
          <w:sz w:val="22"/>
          <w:szCs w:val="22"/>
          <w:lang w:val="it-IT"/>
        </w:rPr>
        <w:t>Luogo:</w:t>
      </w:r>
      <w:r w:rsidRPr="00164F41">
        <w:rPr>
          <w:rFonts w:ascii="Calibri" w:hAnsi="Calibri" w:cs="Arial"/>
          <w:sz w:val="22"/>
          <w:szCs w:val="22"/>
          <w:lang w:val="it-IT"/>
        </w:rPr>
        <w:t xml:space="preserve"> Comune di Cavalese TN, località Forcella </w:t>
      </w:r>
      <w:proofErr w:type="spellStart"/>
      <w:r w:rsidRPr="00164F41">
        <w:rPr>
          <w:rFonts w:ascii="Calibri" w:hAnsi="Calibri" w:cs="Arial"/>
          <w:sz w:val="22"/>
          <w:szCs w:val="22"/>
          <w:lang w:val="it-IT"/>
        </w:rPr>
        <w:t>Bombasel</w:t>
      </w:r>
      <w:proofErr w:type="spellEnd"/>
      <w:r w:rsidRPr="00164F41">
        <w:rPr>
          <w:rFonts w:ascii="Calibri" w:hAnsi="Calibri" w:cs="Arial"/>
          <w:sz w:val="22"/>
          <w:szCs w:val="22"/>
          <w:lang w:val="it-IT"/>
        </w:rPr>
        <w:t xml:space="preserve"> sull’Alpe Cermis</w:t>
      </w:r>
      <w:r w:rsidRPr="00164F41">
        <w:rPr>
          <w:rFonts w:ascii="Calibri" w:hAnsi="Calibri" w:cs="Arial"/>
          <w:sz w:val="22"/>
          <w:szCs w:val="22"/>
          <w:lang w:val="it-IT"/>
        </w:rPr>
        <w:br/>
      </w:r>
      <w:r w:rsidRPr="00164F41">
        <w:rPr>
          <w:rFonts w:ascii="Calibri" w:hAnsi="Calibri" w:cs="Arial"/>
          <w:b/>
          <w:sz w:val="22"/>
          <w:szCs w:val="22"/>
          <w:lang w:val="it-IT"/>
        </w:rPr>
        <w:t>Intervento:</w:t>
      </w:r>
      <w:r w:rsidRPr="00164F41">
        <w:rPr>
          <w:rFonts w:ascii="Calibri" w:hAnsi="Calibri" w:cs="Arial"/>
          <w:sz w:val="22"/>
          <w:szCs w:val="22"/>
          <w:lang w:val="it-IT"/>
        </w:rPr>
        <w:t xml:space="preserve"> Nuova realizzazione</w:t>
      </w:r>
    </w:p>
    <w:p w:rsidR="003119BF" w:rsidRPr="008D708B" w:rsidRDefault="003119BF" w:rsidP="008D708B">
      <w:pPr>
        <w:pStyle w:val="Kommentartext"/>
        <w:spacing w:line="288" w:lineRule="auto"/>
        <w:ind w:left="426" w:firstLine="141"/>
        <w:rPr>
          <w:rFonts w:ascii="Calibri" w:hAnsi="Calibri"/>
          <w:bCs/>
          <w:sz w:val="22"/>
          <w:szCs w:val="22"/>
          <w:lang w:val="it-IT"/>
        </w:rPr>
      </w:pPr>
      <w:r w:rsidRPr="00164F41">
        <w:rPr>
          <w:rFonts w:ascii="Calibri" w:hAnsi="Calibri"/>
          <w:b/>
          <w:bCs/>
          <w:sz w:val="22"/>
          <w:szCs w:val="22"/>
          <w:lang w:val="it-IT"/>
        </w:rPr>
        <w:t>Progett</w:t>
      </w:r>
      <w:r w:rsidR="00C27B23">
        <w:rPr>
          <w:rFonts w:ascii="Calibri" w:hAnsi="Calibri"/>
          <w:b/>
          <w:bCs/>
          <w:sz w:val="22"/>
          <w:szCs w:val="22"/>
          <w:lang w:val="it-IT"/>
        </w:rPr>
        <w:t>o</w:t>
      </w:r>
      <w:r w:rsidRPr="00164F41">
        <w:rPr>
          <w:rFonts w:ascii="Calibri" w:hAnsi="Calibri"/>
          <w:b/>
          <w:bCs/>
          <w:sz w:val="22"/>
          <w:szCs w:val="22"/>
          <w:lang w:val="it-IT"/>
        </w:rPr>
        <w:t>:</w:t>
      </w:r>
      <w:r w:rsidRPr="00164F41">
        <w:rPr>
          <w:rFonts w:ascii="Calibri" w:hAnsi="Calibri"/>
          <w:bCs/>
          <w:sz w:val="22"/>
          <w:szCs w:val="22"/>
          <w:lang w:val="it-IT"/>
        </w:rPr>
        <w:t xml:space="preserve"> </w:t>
      </w:r>
      <w:proofErr w:type="spellStart"/>
      <w:r w:rsidR="00C27B23" w:rsidRPr="008D708B">
        <w:rPr>
          <w:rFonts w:ascii="Calibri" w:hAnsi="Calibri" w:cs="Arial"/>
          <w:sz w:val="22"/>
          <w:szCs w:val="22"/>
          <w:lang w:val="it-IT"/>
        </w:rPr>
        <w:t>Artistudio</w:t>
      </w:r>
      <w:proofErr w:type="spellEnd"/>
      <w:r w:rsidR="00C27B23" w:rsidRPr="008D708B">
        <w:rPr>
          <w:rFonts w:ascii="Calibri" w:hAnsi="Calibri" w:cs="Arial"/>
          <w:sz w:val="22"/>
          <w:szCs w:val="22"/>
          <w:lang w:val="it-IT"/>
        </w:rPr>
        <w:t xml:space="preserve"> di Fondo (TN), architetti Giovanni Berti e Monica Fondriest</w:t>
      </w:r>
    </w:p>
    <w:p w:rsidR="003119BF" w:rsidRPr="00164F41" w:rsidRDefault="003119BF" w:rsidP="008D708B">
      <w:pPr>
        <w:tabs>
          <w:tab w:val="left" w:pos="567"/>
          <w:tab w:val="left" w:pos="600"/>
        </w:tabs>
        <w:spacing w:line="288" w:lineRule="auto"/>
        <w:ind w:left="567" w:right="141"/>
        <w:rPr>
          <w:rFonts w:ascii="Calibri" w:hAnsi="Calibri"/>
          <w:bCs/>
          <w:sz w:val="22"/>
          <w:szCs w:val="22"/>
          <w:lang w:val="it-IT"/>
        </w:rPr>
      </w:pPr>
      <w:r w:rsidRPr="008D708B">
        <w:rPr>
          <w:rFonts w:ascii="Calibri" w:hAnsi="Calibri"/>
          <w:b/>
          <w:bCs/>
          <w:sz w:val="22"/>
          <w:szCs w:val="22"/>
          <w:lang w:val="it-IT"/>
        </w:rPr>
        <w:t>Installatore:</w:t>
      </w:r>
      <w:r w:rsidRPr="008D708B">
        <w:rPr>
          <w:rFonts w:ascii="Calibri" w:hAnsi="Calibri"/>
          <w:bCs/>
          <w:sz w:val="22"/>
          <w:szCs w:val="22"/>
          <w:lang w:val="it-IT"/>
        </w:rPr>
        <w:t xml:space="preserve"> </w:t>
      </w:r>
      <w:proofErr w:type="spellStart"/>
      <w:r w:rsidR="006203A0" w:rsidRPr="008D708B">
        <w:rPr>
          <w:rFonts w:ascii="Calibri" w:hAnsi="Calibri"/>
          <w:bCs/>
          <w:sz w:val="22"/>
          <w:szCs w:val="22"/>
          <w:lang w:val="it-IT"/>
        </w:rPr>
        <w:t>Lamtex</w:t>
      </w:r>
      <w:proofErr w:type="spellEnd"/>
      <w:r w:rsidR="006203A0" w:rsidRPr="008D708B">
        <w:rPr>
          <w:rFonts w:ascii="Calibri" w:hAnsi="Calibri"/>
          <w:bCs/>
          <w:sz w:val="22"/>
          <w:szCs w:val="22"/>
          <w:lang w:val="it-IT"/>
        </w:rPr>
        <w:t xml:space="preserve"> srl con sede a Cles </w:t>
      </w:r>
      <w:r w:rsidRPr="008D708B">
        <w:rPr>
          <w:rFonts w:ascii="Calibri" w:hAnsi="Calibri"/>
          <w:bCs/>
          <w:sz w:val="22"/>
          <w:szCs w:val="22"/>
          <w:lang w:val="it-IT"/>
        </w:rPr>
        <w:t>(TN)</w:t>
      </w:r>
    </w:p>
    <w:p w:rsidR="003119BF" w:rsidRPr="00164F41" w:rsidRDefault="003119BF" w:rsidP="008D708B">
      <w:pPr>
        <w:tabs>
          <w:tab w:val="left" w:pos="567"/>
          <w:tab w:val="left" w:pos="600"/>
        </w:tabs>
        <w:spacing w:line="288" w:lineRule="auto"/>
        <w:ind w:left="567" w:right="141"/>
        <w:rPr>
          <w:rFonts w:ascii="Calibri" w:hAnsi="Calibri"/>
          <w:bCs/>
          <w:sz w:val="22"/>
          <w:szCs w:val="22"/>
          <w:lang w:val="it-IT"/>
        </w:rPr>
      </w:pPr>
      <w:r w:rsidRPr="00164F41">
        <w:rPr>
          <w:rFonts w:ascii="Calibri" w:hAnsi="Calibri" w:cs="Arial"/>
          <w:b/>
          <w:sz w:val="22"/>
          <w:szCs w:val="22"/>
          <w:lang w:val="it-IT"/>
        </w:rPr>
        <w:t>Rivestimento facciate:</w:t>
      </w:r>
      <w:r w:rsidRPr="00164F41">
        <w:rPr>
          <w:rFonts w:ascii="Calibri" w:hAnsi="Calibri" w:cs="Arial"/>
          <w:sz w:val="22"/>
          <w:szCs w:val="22"/>
          <w:lang w:val="it-IT"/>
        </w:rPr>
        <w:t xml:space="preserve"> </w:t>
      </w:r>
      <w:proofErr w:type="spellStart"/>
      <w:r w:rsidRPr="00164F41">
        <w:rPr>
          <w:rFonts w:ascii="Calibri" w:hAnsi="Calibri"/>
          <w:bCs/>
          <w:sz w:val="22"/>
          <w:szCs w:val="22"/>
          <w:lang w:val="it-IT"/>
        </w:rPr>
        <w:t>Prefalz</w:t>
      </w:r>
      <w:proofErr w:type="spellEnd"/>
      <w:r w:rsidRPr="00164F41">
        <w:rPr>
          <w:rFonts w:ascii="Calibri" w:hAnsi="Calibri"/>
          <w:bCs/>
          <w:sz w:val="22"/>
          <w:szCs w:val="22"/>
          <w:lang w:val="it-IT"/>
        </w:rPr>
        <w:t xml:space="preserve"> aggraffato Patina grigio</w:t>
      </w:r>
    </w:p>
    <w:p w:rsidR="003119BF" w:rsidRPr="00164F41" w:rsidRDefault="003119BF" w:rsidP="008D708B">
      <w:pPr>
        <w:autoSpaceDE w:val="0"/>
        <w:autoSpaceDN w:val="0"/>
        <w:adjustRightInd w:val="0"/>
        <w:spacing w:line="288" w:lineRule="auto"/>
        <w:ind w:left="567"/>
        <w:rPr>
          <w:rFonts w:ascii="Calibri" w:hAnsi="Calibri"/>
          <w:bCs/>
          <w:sz w:val="22"/>
          <w:szCs w:val="22"/>
          <w:lang w:val="it-IT"/>
        </w:rPr>
      </w:pPr>
      <w:r w:rsidRPr="00164F41">
        <w:rPr>
          <w:rFonts w:ascii="Calibri" w:hAnsi="Calibri" w:cs="Arial"/>
          <w:b/>
          <w:sz w:val="22"/>
          <w:szCs w:val="22"/>
          <w:lang w:val="it-IT"/>
        </w:rPr>
        <w:t xml:space="preserve">Rivestimento coperture </w:t>
      </w:r>
      <w:proofErr w:type="spellStart"/>
      <w:r w:rsidRPr="00164F41">
        <w:rPr>
          <w:rFonts w:ascii="Calibri" w:hAnsi="Calibri"/>
          <w:bCs/>
          <w:sz w:val="22"/>
          <w:szCs w:val="22"/>
          <w:lang w:val="it-IT"/>
        </w:rPr>
        <w:t>Prefalz</w:t>
      </w:r>
      <w:proofErr w:type="spellEnd"/>
      <w:r w:rsidRPr="00164F41">
        <w:rPr>
          <w:rFonts w:ascii="Calibri" w:hAnsi="Calibri"/>
          <w:bCs/>
          <w:sz w:val="22"/>
          <w:szCs w:val="22"/>
          <w:lang w:val="it-IT"/>
        </w:rPr>
        <w:t xml:space="preserve"> aggraffato P.10 grigio zinco</w:t>
      </w:r>
    </w:p>
    <w:p w:rsidR="003119BF" w:rsidRPr="00164F41" w:rsidRDefault="003119BF" w:rsidP="00115823">
      <w:pPr>
        <w:tabs>
          <w:tab w:val="left" w:pos="567"/>
          <w:tab w:val="left" w:pos="600"/>
        </w:tabs>
        <w:spacing w:line="288" w:lineRule="auto"/>
        <w:ind w:right="141"/>
        <w:rPr>
          <w:rFonts w:ascii="Calibri" w:hAnsi="Calibri" w:cs="Arial"/>
          <w:sz w:val="22"/>
          <w:szCs w:val="22"/>
          <w:lang w:val="it-IT"/>
        </w:rPr>
      </w:pPr>
    </w:p>
    <w:p w:rsidR="003119BF" w:rsidRPr="00164F41" w:rsidRDefault="003119BF" w:rsidP="009B2C9F">
      <w:pPr>
        <w:tabs>
          <w:tab w:val="left" w:pos="8520"/>
        </w:tabs>
        <w:autoSpaceDE w:val="0"/>
        <w:autoSpaceDN w:val="0"/>
        <w:adjustRightInd w:val="0"/>
        <w:spacing w:beforeLines="120" w:before="288" w:after="120" w:line="276" w:lineRule="auto"/>
        <w:ind w:left="284" w:right="141"/>
        <w:jc w:val="both"/>
        <w:rPr>
          <w:rFonts w:ascii="Calibri" w:hAnsi="Calibri" w:cs="Arial"/>
          <w:b/>
          <w:color w:val="FF0000"/>
          <w:lang w:val="it-IT"/>
        </w:rPr>
      </w:pPr>
      <w:r w:rsidRPr="00164F41">
        <w:rPr>
          <w:rFonts w:ascii="Calibri" w:hAnsi="Calibri" w:cs="Arial"/>
          <w:b/>
          <w:color w:val="FF0000"/>
          <w:lang w:val="it-IT"/>
        </w:rPr>
        <w:t xml:space="preserve">I rivestimenti </w:t>
      </w:r>
      <w:r>
        <w:rPr>
          <w:rFonts w:ascii="Calibri" w:hAnsi="Calibri" w:cs="Arial"/>
          <w:b/>
          <w:color w:val="FF0000"/>
          <w:lang w:val="it-IT"/>
        </w:rPr>
        <w:t>PREFA in sintonia con l’architettura di alta montagna</w:t>
      </w:r>
    </w:p>
    <w:p w:rsidR="003119BF" w:rsidRPr="008D708B" w:rsidRDefault="003119BF" w:rsidP="00E7558B">
      <w:pPr>
        <w:pStyle w:val="Kommentartext"/>
        <w:ind w:left="284"/>
        <w:jc w:val="both"/>
        <w:rPr>
          <w:rFonts w:ascii="Calibri" w:hAnsi="Calibri" w:cs="Arial"/>
          <w:sz w:val="22"/>
          <w:szCs w:val="22"/>
          <w:lang w:val="it-IT"/>
        </w:rPr>
      </w:pPr>
      <w:r w:rsidRPr="00164F41">
        <w:rPr>
          <w:rFonts w:ascii="Calibri" w:hAnsi="Calibri" w:cs="Arial"/>
          <w:sz w:val="22"/>
          <w:szCs w:val="22"/>
          <w:lang w:val="it-IT"/>
        </w:rPr>
        <w:t xml:space="preserve">Realizzato in soli 5 mesi e inaugurato lo scorso dicembre 2018, </w:t>
      </w:r>
      <w:r w:rsidRPr="008D708B">
        <w:rPr>
          <w:rFonts w:ascii="Calibri" w:hAnsi="Calibri" w:cs="Arial"/>
          <w:b/>
          <w:bCs/>
          <w:sz w:val="22"/>
          <w:szCs w:val="22"/>
          <w:lang w:val="it-IT"/>
        </w:rPr>
        <w:t>il nuovo rifugio "Lo Chalet" sull’Alpe Cermis</w:t>
      </w:r>
      <w:r w:rsidRPr="00164F41">
        <w:rPr>
          <w:rFonts w:ascii="Calibri" w:hAnsi="Calibri" w:cs="Arial"/>
          <w:sz w:val="22"/>
          <w:szCs w:val="22"/>
          <w:lang w:val="it-IT"/>
        </w:rPr>
        <w:t xml:space="preserve">, in </w:t>
      </w:r>
      <w:r>
        <w:rPr>
          <w:rFonts w:ascii="Calibri" w:hAnsi="Calibri" w:cs="Arial"/>
          <w:sz w:val="22"/>
          <w:szCs w:val="22"/>
          <w:lang w:val="it-IT"/>
        </w:rPr>
        <w:t xml:space="preserve">località </w:t>
      </w:r>
      <w:r w:rsidRPr="00164F41">
        <w:rPr>
          <w:rFonts w:ascii="Calibri" w:hAnsi="Calibri" w:cs="Arial"/>
          <w:sz w:val="22"/>
          <w:szCs w:val="22"/>
          <w:lang w:val="it-IT"/>
        </w:rPr>
        <w:t xml:space="preserve">Forcella di </w:t>
      </w:r>
      <w:proofErr w:type="spellStart"/>
      <w:r w:rsidRPr="00164F41">
        <w:rPr>
          <w:rFonts w:ascii="Calibri" w:hAnsi="Calibri" w:cs="Arial"/>
          <w:sz w:val="22"/>
          <w:szCs w:val="22"/>
          <w:lang w:val="it-IT"/>
        </w:rPr>
        <w:t>Bombasel</w:t>
      </w:r>
      <w:proofErr w:type="spellEnd"/>
      <w:r w:rsidRPr="00164F41">
        <w:rPr>
          <w:rFonts w:ascii="Calibri" w:hAnsi="Calibri" w:cs="Arial"/>
          <w:sz w:val="22"/>
          <w:szCs w:val="22"/>
          <w:lang w:val="it-IT"/>
        </w:rPr>
        <w:t xml:space="preserve">, svetta a quota </w:t>
      </w:r>
      <w:smartTag w:uri="urn:schemas-microsoft-com:office:smarttags" w:element="metricconverter">
        <w:smartTagPr>
          <w:attr w:name="ProductID" w:val="2.170 m"/>
        </w:smartTagPr>
        <w:r w:rsidRPr="00164F41">
          <w:rPr>
            <w:rFonts w:ascii="Calibri" w:hAnsi="Calibri" w:cs="Arial"/>
            <w:sz w:val="22"/>
            <w:szCs w:val="22"/>
            <w:lang w:val="it-IT"/>
          </w:rPr>
          <w:t>2.170 m</w:t>
        </w:r>
      </w:smartTag>
      <w:r w:rsidRPr="00164F41">
        <w:rPr>
          <w:rFonts w:ascii="Calibri" w:hAnsi="Calibri" w:cs="Arial"/>
          <w:sz w:val="22"/>
          <w:szCs w:val="22"/>
          <w:lang w:val="it-IT"/>
        </w:rPr>
        <w:t xml:space="preserve">. La struttura ad un piano </w:t>
      </w:r>
      <w:r>
        <w:rPr>
          <w:rFonts w:ascii="Calibri" w:hAnsi="Calibri" w:cs="Arial"/>
          <w:sz w:val="22"/>
          <w:szCs w:val="22"/>
          <w:lang w:val="it-IT"/>
        </w:rPr>
        <w:t xml:space="preserve">fuori terra, </w:t>
      </w:r>
      <w:r w:rsidRPr="00164F41">
        <w:rPr>
          <w:rFonts w:ascii="Calibri" w:hAnsi="Calibri" w:cs="Arial"/>
          <w:sz w:val="22"/>
          <w:szCs w:val="22"/>
          <w:lang w:val="it-IT"/>
        </w:rPr>
        <w:t xml:space="preserve">è </w:t>
      </w:r>
      <w:r w:rsidRPr="008D708B">
        <w:rPr>
          <w:rFonts w:ascii="Calibri" w:hAnsi="Calibri" w:cs="Arial"/>
          <w:b/>
          <w:bCs/>
          <w:sz w:val="22"/>
          <w:szCs w:val="22"/>
          <w:lang w:val="it-IT"/>
        </w:rPr>
        <w:t xml:space="preserve">adagiata direttamente sulla pista </w:t>
      </w:r>
      <w:proofErr w:type="spellStart"/>
      <w:r w:rsidRPr="002B17DB">
        <w:rPr>
          <w:rFonts w:ascii="Calibri" w:hAnsi="Calibri" w:cs="Arial"/>
          <w:sz w:val="22"/>
          <w:szCs w:val="22"/>
          <w:lang w:val="it-IT"/>
        </w:rPr>
        <w:t>Prafiorì</w:t>
      </w:r>
      <w:proofErr w:type="spellEnd"/>
      <w:r w:rsidRPr="00164F41">
        <w:rPr>
          <w:rFonts w:ascii="Calibri" w:hAnsi="Calibri" w:cs="Arial"/>
          <w:sz w:val="22"/>
          <w:szCs w:val="22"/>
          <w:lang w:val="it-IT"/>
        </w:rPr>
        <w:t xml:space="preserve"> ed ospita un ristorante che propone un’offerta culinaria di alto livello con 80 posti </w:t>
      </w:r>
      <w:r>
        <w:rPr>
          <w:rFonts w:ascii="Calibri" w:hAnsi="Calibri" w:cs="Arial"/>
          <w:sz w:val="22"/>
          <w:szCs w:val="22"/>
          <w:lang w:val="it-IT"/>
        </w:rPr>
        <w:t>a sedere all’interno e circa il doppio sulla terrazza</w:t>
      </w:r>
      <w:r w:rsidRPr="00164F41">
        <w:rPr>
          <w:rFonts w:ascii="Calibri" w:hAnsi="Calibri" w:cs="Arial"/>
          <w:sz w:val="22"/>
          <w:szCs w:val="22"/>
          <w:lang w:val="it-IT"/>
        </w:rPr>
        <w:t xml:space="preserve">. Dalla sala, grazie alle ampie vetrate che caratterizzano le pareti è possibile ammirare una vista unica che spazia dalle Pale di San Martino fino alle </w:t>
      </w:r>
      <w:r w:rsidRPr="008D708B">
        <w:rPr>
          <w:rFonts w:ascii="Calibri" w:hAnsi="Calibri" w:cs="Arial"/>
          <w:sz w:val="22"/>
          <w:szCs w:val="22"/>
          <w:lang w:val="it-IT"/>
        </w:rPr>
        <w:t xml:space="preserve">vette della catena del </w:t>
      </w:r>
      <w:proofErr w:type="spellStart"/>
      <w:r w:rsidRPr="008D708B">
        <w:rPr>
          <w:rFonts w:ascii="Calibri" w:hAnsi="Calibri" w:cs="Arial"/>
          <w:sz w:val="22"/>
          <w:szCs w:val="22"/>
          <w:lang w:val="it-IT"/>
        </w:rPr>
        <w:t>Lagorai</w:t>
      </w:r>
      <w:proofErr w:type="spellEnd"/>
      <w:r w:rsidRPr="008D708B">
        <w:rPr>
          <w:rFonts w:ascii="Calibri" w:hAnsi="Calibri" w:cs="Arial"/>
          <w:sz w:val="22"/>
          <w:szCs w:val="22"/>
          <w:lang w:val="it-IT"/>
        </w:rPr>
        <w:t xml:space="preserve">. </w:t>
      </w:r>
    </w:p>
    <w:p w:rsidR="002D5ED2" w:rsidRDefault="003119BF" w:rsidP="00556F89">
      <w:pPr>
        <w:pStyle w:val="Kommentartext"/>
        <w:ind w:left="284"/>
        <w:jc w:val="both"/>
        <w:rPr>
          <w:rFonts w:ascii="Calibri" w:hAnsi="Calibri" w:cs="Arial"/>
          <w:sz w:val="22"/>
          <w:szCs w:val="22"/>
          <w:lang w:val="it-IT"/>
        </w:rPr>
      </w:pPr>
      <w:r w:rsidRPr="008D708B">
        <w:rPr>
          <w:rFonts w:ascii="Calibri" w:hAnsi="Calibri" w:cs="Arial"/>
          <w:sz w:val="22"/>
          <w:szCs w:val="22"/>
          <w:lang w:val="it-IT"/>
        </w:rPr>
        <w:br/>
      </w:r>
      <w:r w:rsidRPr="008D708B">
        <w:rPr>
          <w:rFonts w:ascii="Calibri" w:hAnsi="Calibri" w:cs="Arial"/>
          <w:b/>
          <w:bCs/>
          <w:sz w:val="22"/>
          <w:szCs w:val="22"/>
          <w:lang w:val="it-IT"/>
        </w:rPr>
        <w:t xml:space="preserve">Il progetto di </w:t>
      </w:r>
      <w:proofErr w:type="spellStart"/>
      <w:r w:rsidRPr="008D708B">
        <w:rPr>
          <w:rFonts w:ascii="Calibri" w:hAnsi="Calibri" w:cs="Arial"/>
          <w:b/>
          <w:bCs/>
          <w:sz w:val="22"/>
          <w:szCs w:val="22"/>
          <w:lang w:val="it-IT"/>
        </w:rPr>
        <w:t>Artistudio</w:t>
      </w:r>
      <w:proofErr w:type="spellEnd"/>
      <w:r w:rsidRPr="008D708B">
        <w:rPr>
          <w:rFonts w:ascii="Calibri" w:hAnsi="Calibri" w:cs="Arial"/>
          <w:sz w:val="22"/>
          <w:szCs w:val="22"/>
          <w:lang w:val="it-IT"/>
        </w:rPr>
        <w:t xml:space="preserve"> di Fondo (TN), degli </w:t>
      </w:r>
      <w:r w:rsidRPr="008D708B">
        <w:rPr>
          <w:rFonts w:ascii="Calibri" w:hAnsi="Calibri" w:cs="Arial"/>
          <w:b/>
          <w:bCs/>
          <w:sz w:val="22"/>
          <w:szCs w:val="22"/>
          <w:lang w:val="it-IT"/>
        </w:rPr>
        <w:t xml:space="preserve">architetti Giovanni Berti </w:t>
      </w:r>
      <w:r w:rsidRPr="008D708B">
        <w:rPr>
          <w:rFonts w:ascii="Calibri" w:hAnsi="Calibri" w:cs="Arial"/>
          <w:sz w:val="22"/>
          <w:szCs w:val="22"/>
          <w:lang w:val="it-IT"/>
        </w:rPr>
        <w:t>e</w:t>
      </w:r>
      <w:r w:rsidRPr="008D708B">
        <w:rPr>
          <w:rFonts w:ascii="Calibri" w:hAnsi="Calibri" w:cs="Arial"/>
          <w:b/>
          <w:bCs/>
          <w:sz w:val="22"/>
          <w:szCs w:val="22"/>
          <w:lang w:val="it-IT"/>
        </w:rPr>
        <w:t xml:space="preserve"> Monica Fondriest</w:t>
      </w:r>
      <w:r w:rsidRPr="008D708B">
        <w:rPr>
          <w:rFonts w:ascii="Calibri" w:hAnsi="Calibri" w:cs="Arial"/>
          <w:sz w:val="22"/>
          <w:szCs w:val="22"/>
          <w:lang w:val="it-IT"/>
        </w:rPr>
        <w:t xml:space="preserve">, i quali hanno curato anche la direzione dei lavori, ha dato forma a </w:t>
      </w:r>
      <w:r w:rsidRPr="008D708B">
        <w:rPr>
          <w:rFonts w:ascii="Calibri" w:hAnsi="Calibri" w:cs="Arial"/>
          <w:b/>
          <w:bCs/>
          <w:sz w:val="22"/>
          <w:szCs w:val="22"/>
          <w:lang w:val="it-IT"/>
        </w:rPr>
        <w:t>un corpo edilizio in stile contemporaneo</w:t>
      </w:r>
      <w:r>
        <w:rPr>
          <w:rFonts w:ascii="Calibri" w:hAnsi="Calibri" w:cs="Arial"/>
          <w:sz w:val="22"/>
          <w:szCs w:val="22"/>
          <w:lang w:val="it-IT"/>
        </w:rPr>
        <w:t>, in cui gli elementi del legno e del metallo creano un dialogo dinamico con l’intorno.</w:t>
      </w:r>
      <w:r w:rsidRPr="00164F41">
        <w:rPr>
          <w:rFonts w:ascii="Calibri" w:hAnsi="Calibri" w:cs="Arial"/>
          <w:sz w:val="22"/>
          <w:szCs w:val="22"/>
          <w:lang w:val="it-IT"/>
        </w:rPr>
        <w:br/>
      </w:r>
    </w:p>
    <w:p w:rsidR="003119BF" w:rsidRDefault="003119BF" w:rsidP="00E7558B">
      <w:pPr>
        <w:pStyle w:val="Kommentartext"/>
        <w:ind w:left="284"/>
        <w:jc w:val="both"/>
        <w:rPr>
          <w:rFonts w:ascii="Calibri" w:hAnsi="Calibri" w:cs="Arial"/>
          <w:sz w:val="22"/>
          <w:szCs w:val="22"/>
          <w:lang w:val="it-IT"/>
        </w:rPr>
      </w:pPr>
      <w:r w:rsidRPr="00164F41">
        <w:rPr>
          <w:rFonts w:ascii="Calibri" w:hAnsi="Calibri" w:cs="Arial"/>
          <w:sz w:val="22"/>
          <w:szCs w:val="22"/>
          <w:lang w:val="it-IT"/>
        </w:rPr>
        <w:t>L</w:t>
      </w:r>
      <w:r>
        <w:rPr>
          <w:rFonts w:ascii="Calibri" w:hAnsi="Calibri" w:cs="Arial"/>
          <w:sz w:val="22"/>
          <w:szCs w:val="22"/>
          <w:lang w:val="it-IT"/>
        </w:rPr>
        <w:t xml:space="preserve">o stile architettonico scelto </w:t>
      </w:r>
      <w:r w:rsidRPr="002B17DB">
        <w:rPr>
          <w:rFonts w:ascii="Calibri" w:hAnsi="Calibri" w:cs="Arial"/>
          <w:b/>
          <w:bCs/>
          <w:sz w:val="22"/>
          <w:szCs w:val="22"/>
          <w:lang w:val="it-IT"/>
        </w:rPr>
        <w:t>sintetizza un’estetica moderna con la tradizione montana</w:t>
      </w:r>
      <w:r>
        <w:rPr>
          <w:rFonts w:ascii="Calibri" w:hAnsi="Calibri" w:cs="Arial"/>
          <w:sz w:val="22"/>
          <w:szCs w:val="22"/>
          <w:lang w:val="it-IT"/>
        </w:rPr>
        <w:t xml:space="preserve">, interpretando l’utilizzo del </w:t>
      </w:r>
      <w:r w:rsidRPr="00164F41">
        <w:rPr>
          <w:rFonts w:ascii="Calibri" w:hAnsi="Calibri" w:cs="Arial"/>
          <w:sz w:val="22"/>
          <w:szCs w:val="22"/>
          <w:lang w:val="it-IT"/>
        </w:rPr>
        <w:t>legno</w:t>
      </w:r>
      <w:r>
        <w:rPr>
          <w:rFonts w:ascii="Calibri" w:hAnsi="Calibri" w:cs="Arial"/>
          <w:sz w:val="22"/>
          <w:szCs w:val="22"/>
          <w:lang w:val="it-IT"/>
        </w:rPr>
        <w:t xml:space="preserve"> in chiave contemporanea. Il </w:t>
      </w:r>
      <w:r w:rsidRPr="008D708B">
        <w:rPr>
          <w:rFonts w:ascii="Calibri" w:hAnsi="Calibri" w:cs="Arial"/>
          <w:sz w:val="22"/>
          <w:szCs w:val="22"/>
          <w:lang w:val="it-IT"/>
        </w:rPr>
        <w:t xml:space="preserve">corpo di fabbrica unico ed </w:t>
      </w:r>
      <w:r w:rsidRPr="002B17DB">
        <w:rPr>
          <w:rFonts w:ascii="Calibri" w:hAnsi="Calibri" w:cs="Arial"/>
          <w:b/>
          <w:bCs/>
          <w:sz w:val="22"/>
          <w:szCs w:val="22"/>
          <w:lang w:val="it-IT"/>
        </w:rPr>
        <w:t>essenziale nelle linee</w:t>
      </w:r>
      <w:r w:rsidRPr="008D708B">
        <w:rPr>
          <w:rFonts w:ascii="Calibri" w:hAnsi="Calibri" w:cs="Arial"/>
          <w:sz w:val="22"/>
          <w:szCs w:val="22"/>
          <w:lang w:val="it-IT"/>
        </w:rPr>
        <w:t>, si articola in una forma irregolare della pianta, sovrastata da un’ampia copertura con sei falde che convergono in un unico punto di colmo centrale. La struttura trae dinamicità dallo scostamento geometrico</w:t>
      </w:r>
      <w:r>
        <w:rPr>
          <w:rFonts w:ascii="Calibri" w:hAnsi="Calibri" w:cs="Arial"/>
          <w:sz w:val="22"/>
          <w:szCs w:val="22"/>
          <w:lang w:val="it-IT"/>
        </w:rPr>
        <w:t xml:space="preserve"> tra perimetro del sedime dell’edificio e limite della copertura, un movimento che crea ampi spazi coperti </w:t>
      </w:r>
      <w:r w:rsidRPr="00372B3F">
        <w:rPr>
          <w:rFonts w:ascii="Calibri" w:hAnsi="Calibri" w:cs="Arial"/>
          <w:sz w:val="22"/>
          <w:szCs w:val="22"/>
          <w:lang w:val="it-IT"/>
        </w:rPr>
        <w:t>sulla terrazza</w:t>
      </w:r>
      <w:r>
        <w:rPr>
          <w:rFonts w:ascii="Calibri" w:hAnsi="Calibri" w:cs="Arial"/>
          <w:sz w:val="22"/>
          <w:szCs w:val="22"/>
          <w:lang w:val="it-IT"/>
        </w:rPr>
        <w:t xml:space="preserve"> solarium di fronte alle vetrate, collegando in maniera evidente gli spazi interni con quelli esterni. </w:t>
      </w:r>
    </w:p>
    <w:p w:rsidR="003119BF" w:rsidRDefault="003119BF" w:rsidP="00556F89">
      <w:pPr>
        <w:pStyle w:val="Kommentartext"/>
        <w:jc w:val="both"/>
        <w:rPr>
          <w:rFonts w:ascii="Calibri" w:hAnsi="Calibri" w:cs="Arial"/>
          <w:sz w:val="22"/>
          <w:szCs w:val="22"/>
          <w:lang w:val="it-IT"/>
        </w:rPr>
      </w:pPr>
    </w:p>
    <w:p w:rsidR="003119BF" w:rsidRPr="00556F89" w:rsidRDefault="003119BF" w:rsidP="00556F89">
      <w:pPr>
        <w:pStyle w:val="Kommentartext"/>
        <w:ind w:left="284"/>
        <w:jc w:val="both"/>
        <w:rPr>
          <w:rFonts w:ascii="Calibri" w:hAnsi="Calibri" w:cs="Arial"/>
          <w:sz w:val="22"/>
          <w:szCs w:val="22"/>
          <w:lang w:val="it-IT"/>
        </w:rPr>
      </w:pPr>
      <w:r>
        <w:rPr>
          <w:rFonts w:ascii="Calibri" w:hAnsi="Calibri" w:cs="Arial"/>
          <w:sz w:val="22"/>
          <w:szCs w:val="22"/>
          <w:lang w:val="it-IT"/>
        </w:rPr>
        <w:t xml:space="preserve">Le falde della copertura presentano pendenze diverse fra loro: un accorgimento progettuale che dona movimento sia nei prospetti che nella spazialità interna </w:t>
      </w:r>
      <w:proofErr w:type="gramStart"/>
      <w:r>
        <w:rPr>
          <w:rFonts w:ascii="Calibri" w:hAnsi="Calibri" w:cs="Arial"/>
          <w:sz w:val="22"/>
          <w:szCs w:val="22"/>
          <w:lang w:val="it-IT"/>
        </w:rPr>
        <w:t>della sale</w:t>
      </w:r>
      <w:proofErr w:type="gramEnd"/>
      <w:r>
        <w:rPr>
          <w:rFonts w:ascii="Calibri" w:hAnsi="Calibri" w:cs="Arial"/>
          <w:sz w:val="22"/>
          <w:szCs w:val="22"/>
          <w:lang w:val="it-IT"/>
        </w:rPr>
        <w:t xml:space="preserve"> </w:t>
      </w:r>
      <w:r w:rsidRPr="002B17DB">
        <w:rPr>
          <w:rFonts w:ascii="Calibri" w:hAnsi="Calibri" w:cs="Arial"/>
          <w:sz w:val="22"/>
          <w:szCs w:val="22"/>
          <w:lang w:val="it-IT"/>
        </w:rPr>
        <w:t>ristorante. I progettisti hanno</w:t>
      </w:r>
      <w:r>
        <w:rPr>
          <w:rFonts w:ascii="Calibri" w:hAnsi="Calibri" w:cs="Arial"/>
          <w:sz w:val="22"/>
          <w:szCs w:val="22"/>
          <w:lang w:val="it-IT"/>
        </w:rPr>
        <w:t xml:space="preserve"> inoltre optato per una scelta in controtendenza con l’architettura montana, dotando le falde più estese del tetto di una inclinazione piuttosto bassa. Per questo motivo ha giocato un ruolo strategico la scelta di un </w:t>
      </w:r>
      <w:r w:rsidRPr="002B17DB">
        <w:rPr>
          <w:rFonts w:ascii="Calibri" w:hAnsi="Calibri" w:cs="Arial"/>
          <w:b/>
          <w:bCs/>
          <w:sz w:val="22"/>
          <w:szCs w:val="22"/>
          <w:lang w:val="it-IT"/>
        </w:rPr>
        <w:t>rivestimento in alluminio di alta qualità</w:t>
      </w:r>
      <w:r>
        <w:rPr>
          <w:rFonts w:ascii="Calibri" w:hAnsi="Calibri" w:cs="Arial"/>
          <w:sz w:val="22"/>
          <w:szCs w:val="22"/>
          <w:lang w:val="it-IT"/>
        </w:rPr>
        <w:t xml:space="preserve">, come </w:t>
      </w:r>
      <w:r w:rsidRPr="002B17DB">
        <w:rPr>
          <w:rFonts w:ascii="Calibri" w:hAnsi="Calibri" w:cs="Arial"/>
          <w:b/>
          <w:bCs/>
          <w:sz w:val="22"/>
          <w:szCs w:val="22"/>
          <w:lang w:val="it-IT"/>
        </w:rPr>
        <w:t xml:space="preserve">il nastro aggraffato </w:t>
      </w:r>
      <w:proofErr w:type="spellStart"/>
      <w:r w:rsidRPr="002B17DB">
        <w:rPr>
          <w:rFonts w:ascii="Calibri" w:hAnsi="Calibri" w:cs="Arial"/>
          <w:b/>
          <w:bCs/>
          <w:sz w:val="22"/>
          <w:szCs w:val="22"/>
          <w:lang w:val="it-IT"/>
        </w:rPr>
        <w:t>Prefalz</w:t>
      </w:r>
      <w:proofErr w:type="spellEnd"/>
      <w:r w:rsidRPr="002B17DB">
        <w:rPr>
          <w:rFonts w:ascii="Calibri" w:hAnsi="Calibri" w:cs="Arial"/>
          <w:b/>
          <w:bCs/>
          <w:sz w:val="22"/>
          <w:szCs w:val="22"/>
          <w:lang w:val="it-IT"/>
        </w:rPr>
        <w:t xml:space="preserve"> di PREFA</w:t>
      </w:r>
      <w:r>
        <w:rPr>
          <w:rFonts w:ascii="Calibri" w:hAnsi="Calibri" w:cs="Arial"/>
          <w:sz w:val="22"/>
          <w:szCs w:val="22"/>
          <w:lang w:val="it-IT"/>
        </w:rPr>
        <w:t xml:space="preserve">, in grado di assicurare </w:t>
      </w:r>
      <w:r w:rsidRPr="002B17DB">
        <w:rPr>
          <w:rFonts w:ascii="Calibri" w:hAnsi="Calibri" w:cs="Arial"/>
          <w:b/>
          <w:bCs/>
          <w:sz w:val="22"/>
          <w:szCs w:val="22"/>
          <w:lang w:val="it-IT"/>
        </w:rPr>
        <w:t>un’elevata resistenza al vento forte e carichi di neve importanti</w:t>
      </w:r>
      <w:r>
        <w:rPr>
          <w:rFonts w:ascii="Calibri" w:hAnsi="Calibri" w:cs="Arial"/>
          <w:sz w:val="22"/>
          <w:szCs w:val="22"/>
          <w:lang w:val="it-IT"/>
        </w:rPr>
        <w:t xml:space="preserve">, anche in presenza di </w:t>
      </w:r>
      <w:r w:rsidRPr="002B17DB">
        <w:rPr>
          <w:rFonts w:ascii="Calibri" w:hAnsi="Calibri" w:cs="Arial"/>
          <w:b/>
          <w:bCs/>
          <w:sz w:val="22"/>
          <w:szCs w:val="22"/>
          <w:lang w:val="it-IT"/>
        </w:rPr>
        <w:t>falde poco inclinate</w:t>
      </w:r>
      <w:r>
        <w:rPr>
          <w:rFonts w:ascii="Calibri" w:hAnsi="Calibri" w:cs="Arial"/>
          <w:sz w:val="22"/>
          <w:szCs w:val="22"/>
          <w:lang w:val="it-IT"/>
        </w:rPr>
        <w:t xml:space="preserve">. </w:t>
      </w:r>
    </w:p>
    <w:p w:rsidR="003119BF" w:rsidRDefault="003119BF" w:rsidP="00E7558B">
      <w:pPr>
        <w:pStyle w:val="Kommentartext"/>
        <w:jc w:val="both"/>
        <w:rPr>
          <w:lang w:val="it-IT"/>
        </w:rPr>
      </w:pPr>
    </w:p>
    <w:p w:rsidR="003119BF" w:rsidRDefault="003119BF" w:rsidP="00E7558B">
      <w:pPr>
        <w:pStyle w:val="Kommentartext"/>
        <w:ind w:left="284"/>
        <w:jc w:val="both"/>
        <w:rPr>
          <w:rFonts w:ascii="Calibri" w:hAnsi="Calibri" w:cs="Arial"/>
          <w:sz w:val="22"/>
          <w:szCs w:val="22"/>
          <w:lang w:val="it-IT"/>
        </w:rPr>
      </w:pPr>
      <w:r>
        <w:rPr>
          <w:rFonts w:ascii="Calibri" w:hAnsi="Calibri" w:cs="Arial"/>
          <w:sz w:val="22"/>
          <w:szCs w:val="22"/>
          <w:lang w:val="it-IT"/>
        </w:rPr>
        <w:t xml:space="preserve">Lo stesso tipo di rivestimento in alluminio </w:t>
      </w:r>
      <w:proofErr w:type="spellStart"/>
      <w:r>
        <w:rPr>
          <w:rFonts w:ascii="Calibri" w:hAnsi="Calibri" w:cs="Arial"/>
          <w:sz w:val="22"/>
          <w:szCs w:val="22"/>
          <w:lang w:val="it-IT"/>
        </w:rPr>
        <w:t>Prefalz</w:t>
      </w:r>
      <w:proofErr w:type="spellEnd"/>
      <w:r>
        <w:rPr>
          <w:rFonts w:ascii="Calibri" w:hAnsi="Calibri" w:cs="Arial"/>
          <w:sz w:val="22"/>
          <w:szCs w:val="22"/>
          <w:lang w:val="it-IT"/>
        </w:rPr>
        <w:t xml:space="preserve">, in una gradazione di grigio leggermente più scura rispetto a quello usato in copertura, è stato scelto per il rivestimento dei fronti nord e ovest e per quello della </w:t>
      </w:r>
      <w:r w:rsidRPr="00372B3F">
        <w:rPr>
          <w:rFonts w:ascii="Calibri" w:hAnsi="Calibri" w:cs="Arial"/>
          <w:sz w:val="22"/>
          <w:szCs w:val="22"/>
          <w:lang w:val="it-IT"/>
        </w:rPr>
        <w:t xml:space="preserve">struttura che incornicia l’ingresso principale. Il nastro </w:t>
      </w:r>
      <w:proofErr w:type="spellStart"/>
      <w:r w:rsidRPr="00372B3F">
        <w:rPr>
          <w:rFonts w:ascii="Calibri" w:hAnsi="Calibri" w:cs="Arial"/>
          <w:sz w:val="22"/>
          <w:szCs w:val="22"/>
          <w:lang w:val="it-IT"/>
        </w:rPr>
        <w:t>Prefalz</w:t>
      </w:r>
      <w:proofErr w:type="spellEnd"/>
      <w:r w:rsidRPr="00372B3F">
        <w:rPr>
          <w:rFonts w:ascii="Calibri" w:hAnsi="Calibri" w:cs="Arial"/>
          <w:sz w:val="22"/>
          <w:szCs w:val="22"/>
          <w:lang w:val="it-IT"/>
        </w:rPr>
        <w:t xml:space="preserve"> in alluminio PREFA, materiale naturale completamente riciclabile, malleabile</w:t>
      </w:r>
      <w:r>
        <w:rPr>
          <w:rFonts w:ascii="Calibri" w:hAnsi="Calibri" w:cs="Arial"/>
          <w:sz w:val="22"/>
          <w:szCs w:val="22"/>
          <w:lang w:val="it-IT"/>
        </w:rPr>
        <w:t xml:space="preserve"> e facilmente lavorabile, è stato utilizzato per realizzare, oltre al rivestimento delle due facciate e della copertura, anche tutti i raccordi, le finiture e il cornicione sottotetto, le imbotti delle finestre e il rivestimento della pensilina sopra l’ingresso laterale. Anche nella scelta degli infissi, il metallo e il legno si avvicendano in un’alternanza equilibrata e originale. </w:t>
      </w:r>
    </w:p>
    <w:p w:rsidR="003119BF" w:rsidRDefault="003119BF" w:rsidP="00E7558B">
      <w:pPr>
        <w:pStyle w:val="Kommentartext"/>
        <w:ind w:left="284"/>
        <w:jc w:val="both"/>
        <w:rPr>
          <w:rFonts w:ascii="Calibri" w:hAnsi="Calibri" w:cs="Arial"/>
          <w:sz w:val="22"/>
          <w:szCs w:val="22"/>
          <w:lang w:val="it-IT"/>
        </w:rPr>
      </w:pPr>
    </w:p>
    <w:p w:rsidR="003119BF" w:rsidRPr="00095182" w:rsidRDefault="003119BF" w:rsidP="009B2C9F">
      <w:pPr>
        <w:tabs>
          <w:tab w:val="left" w:pos="426"/>
          <w:tab w:val="left" w:pos="600"/>
        </w:tabs>
        <w:spacing w:before="240" w:afterLines="50" w:after="120" w:line="264" w:lineRule="auto"/>
        <w:ind w:left="284" w:right="-57"/>
        <w:jc w:val="both"/>
        <w:rPr>
          <w:rFonts w:ascii="Calibri" w:hAnsi="Calibri"/>
          <w:b/>
          <w:color w:val="C00000"/>
          <w:lang w:val="it-IT"/>
        </w:rPr>
      </w:pPr>
      <w:r>
        <w:rPr>
          <w:rFonts w:ascii="Calibri" w:hAnsi="Calibri"/>
          <w:b/>
          <w:color w:val="C00000"/>
          <w:lang w:val="it-IT"/>
        </w:rPr>
        <w:t xml:space="preserve">La cura dei dettagli </w:t>
      </w:r>
      <w:r w:rsidRPr="00095182">
        <w:rPr>
          <w:rFonts w:ascii="Calibri" w:hAnsi="Calibri"/>
          <w:b/>
          <w:color w:val="C00000"/>
          <w:lang w:val="it-IT"/>
        </w:rPr>
        <w:t xml:space="preserve">per </w:t>
      </w:r>
      <w:r>
        <w:rPr>
          <w:rFonts w:ascii="Calibri" w:hAnsi="Calibri"/>
          <w:b/>
          <w:color w:val="C00000"/>
          <w:lang w:val="it-IT"/>
        </w:rPr>
        <w:t>la massima eleganza e funzionalità</w:t>
      </w:r>
    </w:p>
    <w:p w:rsidR="003119BF" w:rsidRPr="002A652E" w:rsidRDefault="003119BF" w:rsidP="00632B4E">
      <w:pPr>
        <w:ind w:left="284"/>
        <w:jc w:val="both"/>
        <w:rPr>
          <w:rFonts w:ascii="Calibri" w:hAnsi="Calibri" w:cs="Arial"/>
          <w:sz w:val="22"/>
          <w:szCs w:val="22"/>
          <w:lang w:val="it-IT"/>
        </w:rPr>
      </w:pPr>
      <w:proofErr w:type="spellStart"/>
      <w:r w:rsidRPr="002B17DB">
        <w:rPr>
          <w:rFonts w:ascii="Calibri" w:hAnsi="Calibri" w:cs="Arial"/>
          <w:b/>
          <w:bCs/>
          <w:sz w:val="22"/>
          <w:szCs w:val="22"/>
          <w:lang w:val="it-IT"/>
        </w:rPr>
        <w:t>Prefalz</w:t>
      </w:r>
      <w:proofErr w:type="spellEnd"/>
      <w:r w:rsidRPr="002B17DB">
        <w:rPr>
          <w:rFonts w:ascii="Calibri" w:hAnsi="Calibri" w:cs="Arial"/>
          <w:sz w:val="22"/>
          <w:szCs w:val="22"/>
          <w:lang w:val="it-IT"/>
        </w:rPr>
        <w:t xml:space="preserve"> si è distinto per la sua duttilità, la facilità di lavorare, la leggerezza e per la possibilità di realizzare senza difficoltà collegamenti a prova di pioggia e neve senza utilizzare viti, colla o saldature. Molto apprezzato dai posatori della </w:t>
      </w:r>
      <w:proofErr w:type="spellStart"/>
      <w:r w:rsidR="006203A0" w:rsidRPr="002B17DB">
        <w:rPr>
          <w:rFonts w:ascii="Calibri" w:hAnsi="Calibri"/>
          <w:b/>
          <w:bCs/>
          <w:sz w:val="22"/>
          <w:szCs w:val="22"/>
          <w:lang w:val="it-IT"/>
        </w:rPr>
        <w:t>Lamtex</w:t>
      </w:r>
      <w:proofErr w:type="spellEnd"/>
      <w:r w:rsidR="006203A0" w:rsidRPr="002B17DB">
        <w:rPr>
          <w:rFonts w:ascii="Calibri" w:hAnsi="Calibri"/>
          <w:b/>
          <w:bCs/>
          <w:sz w:val="22"/>
          <w:szCs w:val="22"/>
          <w:lang w:val="it-IT"/>
        </w:rPr>
        <w:t xml:space="preserve"> srl </w:t>
      </w:r>
      <w:r w:rsidR="006203A0" w:rsidRPr="002B17DB">
        <w:rPr>
          <w:rFonts w:ascii="Calibri" w:hAnsi="Calibri"/>
          <w:sz w:val="22"/>
          <w:szCs w:val="22"/>
          <w:lang w:val="it-IT"/>
        </w:rPr>
        <w:t>con sede a Cles (TN),</w:t>
      </w:r>
      <w:r w:rsidR="006203A0" w:rsidRPr="002B17DB">
        <w:rPr>
          <w:rFonts w:ascii="Calibri" w:hAnsi="Calibri"/>
          <w:bCs/>
          <w:sz w:val="22"/>
          <w:szCs w:val="22"/>
          <w:lang w:val="it-IT"/>
        </w:rPr>
        <w:t xml:space="preserve"> </w:t>
      </w:r>
      <w:r w:rsidRPr="002B17DB">
        <w:rPr>
          <w:rFonts w:ascii="Calibri" w:hAnsi="Calibri" w:cs="Arial"/>
          <w:sz w:val="22"/>
          <w:szCs w:val="22"/>
          <w:lang w:val="it-IT"/>
        </w:rPr>
        <w:t>che ha eseguito e concluso il lavoro in tempi strettissimi in vista dell’inaugurazione, fissata in occasione delle feste Natalizie, dopo soli 5 mesi dall’inizio del cantiere.</w:t>
      </w:r>
    </w:p>
    <w:p w:rsidR="003119BF" w:rsidRPr="002A652E" w:rsidRDefault="003119BF" w:rsidP="00632B4E">
      <w:pPr>
        <w:ind w:left="284"/>
        <w:jc w:val="both"/>
        <w:rPr>
          <w:rFonts w:ascii="Calibri" w:hAnsi="Calibri" w:cs="Arial"/>
          <w:sz w:val="22"/>
          <w:szCs w:val="22"/>
          <w:lang w:val="it-IT"/>
        </w:rPr>
      </w:pPr>
    </w:p>
    <w:p w:rsidR="003119BF" w:rsidRDefault="003119BF" w:rsidP="009B2C9F">
      <w:pPr>
        <w:tabs>
          <w:tab w:val="left" w:pos="284"/>
        </w:tabs>
        <w:spacing w:afterLines="50" w:after="120" w:line="264" w:lineRule="auto"/>
        <w:ind w:left="284" w:right="-57"/>
        <w:jc w:val="both"/>
        <w:rPr>
          <w:rFonts w:ascii="Calibri" w:hAnsi="Calibri" w:cs="Arial"/>
          <w:sz w:val="22"/>
          <w:szCs w:val="22"/>
          <w:lang w:val="it-IT"/>
        </w:rPr>
      </w:pPr>
      <w:r w:rsidRPr="002A652E">
        <w:rPr>
          <w:rFonts w:ascii="Calibri" w:hAnsi="Calibri" w:cs="Arial"/>
          <w:sz w:val="22"/>
          <w:szCs w:val="22"/>
          <w:lang w:val="it-IT"/>
        </w:rPr>
        <w:t xml:space="preserve">Il nastro </w:t>
      </w:r>
      <w:proofErr w:type="spellStart"/>
      <w:r w:rsidRPr="002A652E">
        <w:rPr>
          <w:rFonts w:ascii="Calibri" w:hAnsi="Calibri" w:cs="Arial"/>
          <w:sz w:val="22"/>
          <w:szCs w:val="22"/>
          <w:lang w:val="it-IT"/>
        </w:rPr>
        <w:t>Prefalz</w:t>
      </w:r>
      <w:proofErr w:type="spellEnd"/>
      <w:r w:rsidRPr="002A652E">
        <w:rPr>
          <w:rFonts w:ascii="Calibri" w:hAnsi="Calibri" w:cs="Arial"/>
          <w:sz w:val="22"/>
          <w:szCs w:val="22"/>
          <w:lang w:val="it-IT"/>
        </w:rPr>
        <w:t xml:space="preserve"> offre molteplici opportunità creative per la realizzazione di tetti e facciate e un’ampia gamma di accessori per il completamento delle opere. </w:t>
      </w:r>
      <w:r w:rsidRPr="002A652E">
        <w:rPr>
          <w:rFonts w:ascii="Calibri" w:hAnsi="Calibri" w:cs="Arial"/>
          <w:sz w:val="22"/>
          <w:szCs w:val="22"/>
          <w:lang w:val="it-IT"/>
        </w:rPr>
        <w:lastRenderedPageBreak/>
        <w:t>Disponibile in 19 colori standard, con superficie liscia o goffrata, PREFALZ® presenta un peso contenuto, è ininfiammabile (</w:t>
      </w:r>
      <w:proofErr w:type="spellStart"/>
      <w:r w:rsidRPr="002A652E">
        <w:rPr>
          <w:rFonts w:ascii="Calibri" w:hAnsi="Calibri" w:cs="Arial"/>
          <w:sz w:val="22"/>
          <w:szCs w:val="22"/>
          <w:lang w:val="it-IT"/>
        </w:rPr>
        <w:t>Euroclasse</w:t>
      </w:r>
      <w:proofErr w:type="spellEnd"/>
      <w:r w:rsidRPr="002A652E">
        <w:rPr>
          <w:rFonts w:ascii="Calibri" w:hAnsi="Calibri" w:cs="Arial"/>
          <w:sz w:val="22"/>
          <w:szCs w:val="22"/>
          <w:lang w:val="it-IT"/>
        </w:rPr>
        <w:t xml:space="preserve"> A1)</w:t>
      </w:r>
      <w:r>
        <w:rPr>
          <w:rFonts w:ascii="Calibri" w:hAnsi="Calibri" w:cs="Arial"/>
          <w:sz w:val="22"/>
          <w:szCs w:val="22"/>
          <w:lang w:val="it-IT"/>
        </w:rPr>
        <w:t xml:space="preserve"> e</w:t>
      </w:r>
      <w:r w:rsidRPr="002A652E">
        <w:rPr>
          <w:rFonts w:ascii="Calibri" w:hAnsi="Calibri" w:cs="Arial"/>
          <w:sz w:val="22"/>
          <w:szCs w:val="22"/>
          <w:lang w:val="it-IT"/>
        </w:rPr>
        <w:t xml:space="preserve"> la lega con cui è prodotto e la sua verniciatura sono concepiti per la lavorazione con la tecnica di aggraffatura.</w:t>
      </w:r>
      <w:r>
        <w:rPr>
          <w:rFonts w:ascii="Calibri" w:hAnsi="Calibri" w:cs="Arial"/>
          <w:sz w:val="22"/>
          <w:szCs w:val="22"/>
          <w:lang w:val="it-IT"/>
        </w:rPr>
        <w:t xml:space="preserve"> </w:t>
      </w:r>
    </w:p>
    <w:p w:rsidR="003119BF" w:rsidRPr="00042463" w:rsidRDefault="003119BF" w:rsidP="009B2C9F">
      <w:pPr>
        <w:tabs>
          <w:tab w:val="left" w:pos="284"/>
        </w:tabs>
        <w:spacing w:afterLines="50" w:after="120" w:line="264" w:lineRule="auto"/>
        <w:ind w:left="284" w:right="-57"/>
        <w:jc w:val="both"/>
        <w:rPr>
          <w:rFonts w:ascii="Calibri" w:hAnsi="Calibri" w:cs="Arial"/>
          <w:sz w:val="22"/>
          <w:szCs w:val="22"/>
          <w:lang w:val="it-IT"/>
        </w:rPr>
      </w:pPr>
      <w:r w:rsidRPr="00042463">
        <w:rPr>
          <w:rFonts w:ascii="Calibri" w:hAnsi="Calibri" w:cs="Arial"/>
          <w:sz w:val="22"/>
          <w:szCs w:val="22"/>
          <w:lang w:val="it-IT"/>
        </w:rPr>
        <w:t xml:space="preserve">I rivestimenti in alluminio PREFA sono caratterizzati da </w:t>
      </w:r>
      <w:r w:rsidRPr="00042463">
        <w:rPr>
          <w:rFonts w:ascii="Calibri" w:hAnsi="Calibri" w:cs="Arial"/>
          <w:b/>
          <w:sz w:val="22"/>
          <w:szCs w:val="22"/>
          <w:lang w:val="it-IT"/>
        </w:rPr>
        <w:t>un’elevatissima resistenza</w:t>
      </w:r>
      <w:r w:rsidRPr="00042463">
        <w:rPr>
          <w:rFonts w:ascii="Calibri" w:hAnsi="Calibri" w:cs="Arial"/>
          <w:sz w:val="22"/>
          <w:szCs w:val="22"/>
          <w:lang w:val="it-IT"/>
        </w:rPr>
        <w:t xml:space="preserve"> </w:t>
      </w:r>
      <w:r w:rsidRPr="00042463">
        <w:rPr>
          <w:rFonts w:ascii="Calibri" w:hAnsi="Calibri" w:cs="Arial"/>
          <w:b/>
          <w:sz w:val="22"/>
          <w:szCs w:val="22"/>
          <w:lang w:val="it-IT"/>
        </w:rPr>
        <w:t>al gelo, agli sbalzi termici e alla rottura</w:t>
      </w:r>
      <w:r w:rsidRPr="00042463">
        <w:rPr>
          <w:rFonts w:ascii="Calibri" w:hAnsi="Calibri" w:cs="Arial"/>
          <w:sz w:val="22"/>
          <w:szCs w:val="22"/>
          <w:lang w:val="it-IT"/>
        </w:rPr>
        <w:t xml:space="preserve">, oltre ad essere inattaccabili dalla ruggine, e resistere ad aggressioni chimiche e alla corrosione. </w:t>
      </w:r>
      <w:r w:rsidRPr="00042463">
        <w:rPr>
          <w:rFonts w:ascii="Calibri" w:hAnsi="Calibri" w:cs="Arial"/>
          <w:b/>
          <w:sz w:val="22"/>
          <w:szCs w:val="22"/>
          <w:lang w:val="it-IT"/>
        </w:rPr>
        <w:t xml:space="preserve">In virtù di tali prestazioni PREFA </w:t>
      </w:r>
      <w:r w:rsidRPr="00042463">
        <w:rPr>
          <w:rFonts w:ascii="Calibri" w:hAnsi="Calibri" w:cs="Arial"/>
          <w:sz w:val="22"/>
          <w:szCs w:val="22"/>
          <w:lang w:val="it-IT"/>
        </w:rPr>
        <w:t xml:space="preserve">offre la </w:t>
      </w:r>
      <w:r w:rsidRPr="00042463">
        <w:rPr>
          <w:rFonts w:ascii="Calibri" w:hAnsi="Calibri" w:cs="Arial"/>
          <w:b/>
          <w:sz w:val="22"/>
          <w:szCs w:val="22"/>
          <w:lang w:val="it-IT"/>
        </w:rPr>
        <w:t>garanzia di 40 anni</w:t>
      </w:r>
      <w:r w:rsidRPr="00042463">
        <w:rPr>
          <w:rFonts w:ascii="Calibri" w:hAnsi="Calibri" w:cs="Arial"/>
          <w:sz w:val="22"/>
          <w:szCs w:val="22"/>
          <w:lang w:val="it-IT"/>
        </w:rPr>
        <w:t xml:space="preserve"> sul </w:t>
      </w:r>
      <w:r w:rsidRPr="00042463">
        <w:rPr>
          <w:rFonts w:ascii="Calibri" w:hAnsi="Calibri" w:cs="Arial"/>
          <w:b/>
          <w:sz w:val="22"/>
          <w:szCs w:val="22"/>
          <w:lang w:val="it-IT"/>
        </w:rPr>
        <w:t>materiale</w:t>
      </w:r>
      <w:r w:rsidRPr="00042463">
        <w:rPr>
          <w:rFonts w:ascii="Calibri" w:hAnsi="Calibri" w:cs="Arial"/>
          <w:sz w:val="22"/>
          <w:szCs w:val="22"/>
          <w:lang w:val="it-IT"/>
        </w:rPr>
        <w:t>.</w:t>
      </w:r>
    </w:p>
    <w:p w:rsidR="003119BF" w:rsidRPr="002A652E" w:rsidRDefault="003119BF" w:rsidP="00E7558B">
      <w:pPr>
        <w:ind w:left="426"/>
        <w:jc w:val="both"/>
        <w:rPr>
          <w:rFonts w:ascii="Calibri" w:hAnsi="Calibri" w:cs="Arial"/>
          <w:sz w:val="22"/>
          <w:szCs w:val="22"/>
          <w:lang w:val="it-IT"/>
        </w:rPr>
      </w:pPr>
    </w:p>
    <w:p w:rsidR="003119BF" w:rsidRPr="00164F41" w:rsidRDefault="002D5ED2" w:rsidP="000A44EA">
      <w:pPr>
        <w:pStyle w:val="Kommentartext"/>
        <w:ind w:left="284"/>
        <w:rPr>
          <w:lang w:val="it-IT"/>
        </w:rPr>
      </w:pPr>
      <w:r>
        <w:rPr>
          <w:lang w:val="it-IT"/>
        </w:rPr>
        <w:t xml:space="preserve"> </w:t>
      </w:r>
    </w:p>
    <w:p w:rsidR="003119BF" w:rsidRPr="00164F41" w:rsidRDefault="003119BF" w:rsidP="00FA2A21">
      <w:pPr>
        <w:pStyle w:val="Kommentartext"/>
        <w:rPr>
          <w:lang w:val="it-IT"/>
        </w:rPr>
      </w:pPr>
    </w:p>
    <w:tbl>
      <w:tblPr>
        <w:tblW w:w="9355" w:type="dxa"/>
        <w:tblInd w:w="392" w:type="dxa"/>
        <w:tblBorders>
          <w:top w:val="single" w:sz="8" w:space="0" w:color="C0504D"/>
          <w:bottom w:val="single" w:sz="8" w:space="0" w:color="C0504D"/>
        </w:tblBorders>
        <w:tblCellMar>
          <w:top w:w="57" w:type="dxa"/>
          <w:bottom w:w="57" w:type="dxa"/>
        </w:tblCellMar>
        <w:tblLook w:val="00A0" w:firstRow="1" w:lastRow="0" w:firstColumn="1" w:lastColumn="0" w:noHBand="0" w:noVBand="0"/>
      </w:tblPr>
      <w:tblGrid>
        <w:gridCol w:w="2093"/>
        <w:gridCol w:w="7262"/>
      </w:tblGrid>
      <w:tr w:rsidR="003119BF" w:rsidRPr="00856E6D" w:rsidTr="009B2C9F">
        <w:tc>
          <w:tcPr>
            <w:tcW w:w="2093" w:type="dxa"/>
            <w:tcBorders>
              <w:top w:val="single" w:sz="8" w:space="0" w:color="C0504D"/>
              <w:left w:val="nil"/>
              <w:bottom w:val="single" w:sz="8" w:space="0" w:color="C0504D"/>
              <w:right w:val="nil"/>
            </w:tcBorders>
            <w:vAlign w:val="center"/>
          </w:tcPr>
          <w:p w:rsidR="003119BF" w:rsidRPr="009B2C9F" w:rsidRDefault="003119BF" w:rsidP="009B2C9F">
            <w:pPr>
              <w:tabs>
                <w:tab w:val="left" w:pos="284"/>
                <w:tab w:val="left" w:pos="600"/>
              </w:tabs>
              <w:spacing w:line="276" w:lineRule="auto"/>
              <w:ind w:right="142"/>
              <w:jc w:val="both"/>
              <w:rPr>
                <w:rFonts w:ascii="Calibri" w:hAnsi="Calibri" w:cs="Arial"/>
                <w:b/>
                <w:bCs/>
                <w:color w:val="C00000"/>
                <w:lang w:val="it-IT"/>
              </w:rPr>
            </w:pPr>
            <w:r w:rsidRPr="009B2C9F">
              <w:rPr>
                <w:rFonts w:ascii="Calibri" w:hAnsi="Calibri" w:cs="Arial"/>
                <w:b/>
                <w:bCs/>
                <w:color w:val="C00000"/>
                <w:sz w:val="22"/>
                <w:szCs w:val="22"/>
                <w:lang w:val="it-IT"/>
              </w:rPr>
              <w:t>PREFALZ</w:t>
            </w:r>
          </w:p>
        </w:tc>
        <w:tc>
          <w:tcPr>
            <w:tcW w:w="7262" w:type="dxa"/>
            <w:tcBorders>
              <w:top w:val="single" w:sz="8" w:space="0" w:color="C0504D"/>
              <w:left w:val="nil"/>
              <w:bottom w:val="single" w:sz="8" w:space="0" w:color="C0504D"/>
              <w:right w:val="nil"/>
            </w:tcBorders>
            <w:vAlign w:val="center"/>
          </w:tcPr>
          <w:p w:rsidR="003119BF" w:rsidRPr="009B2C9F" w:rsidRDefault="003119BF" w:rsidP="009B2C9F">
            <w:pPr>
              <w:tabs>
                <w:tab w:val="left" w:pos="284"/>
                <w:tab w:val="left" w:pos="600"/>
              </w:tabs>
              <w:spacing w:line="276" w:lineRule="auto"/>
              <w:ind w:right="142"/>
              <w:jc w:val="both"/>
              <w:rPr>
                <w:rFonts w:ascii="Calibri" w:hAnsi="Calibri" w:cs="Arial"/>
                <w:b/>
                <w:bCs/>
                <w:color w:val="C00000"/>
                <w:lang w:val="it-IT"/>
              </w:rPr>
            </w:pPr>
            <w:r w:rsidRPr="009B2C9F">
              <w:rPr>
                <w:rFonts w:ascii="Calibri" w:hAnsi="Calibri" w:cs="Arial"/>
                <w:b/>
                <w:bCs/>
                <w:color w:val="C00000"/>
                <w:sz w:val="22"/>
                <w:szCs w:val="22"/>
                <w:lang w:val="it-IT"/>
              </w:rPr>
              <w:t>DATI TECNICI</w:t>
            </w:r>
          </w:p>
        </w:tc>
      </w:tr>
      <w:tr w:rsidR="003119BF" w:rsidRPr="00856E6D" w:rsidTr="009B2C9F">
        <w:tc>
          <w:tcPr>
            <w:tcW w:w="2093" w:type="dxa"/>
            <w:tcBorders>
              <w:left w:val="nil"/>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b/>
                <w:bCs/>
                <w:lang w:val="it-IT"/>
              </w:rPr>
            </w:pPr>
            <w:r w:rsidRPr="009B2C9F">
              <w:rPr>
                <w:rFonts w:ascii="Calibri" w:hAnsi="Calibri" w:cs="Arial"/>
                <w:b/>
                <w:bCs/>
                <w:sz w:val="22"/>
                <w:szCs w:val="22"/>
                <w:lang w:val="it-IT"/>
              </w:rPr>
              <w:t>Materiale:</w:t>
            </w:r>
          </w:p>
        </w:tc>
        <w:tc>
          <w:tcPr>
            <w:tcW w:w="7262" w:type="dxa"/>
            <w:tcBorders>
              <w:left w:val="nil"/>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lang w:val="it-IT"/>
              </w:rPr>
            </w:pPr>
            <w:r w:rsidRPr="009B2C9F">
              <w:rPr>
                <w:rFonts w:ascii="Calibri" w:hAnsi="Calibri" w:cs="Arial"/>
                <w:sz w:val="22"/>
                <w:szCs w:val="22"/>
                <w:lang w:val="it-IT"/>
              </w:rPr>
              <w:t xml:space="preserve">Alluminio </w:t>
            </w:r>
            <w:proofErr w:type="spellStart"/>
            <w:r w:rsidRPr="009B2C9F">
              <w:rPr>
                <w:rFonts w:ascii="Calibri" w:hAnsi="Calibri" w:cs="Arial"/>
                <w:sz w:val="22"/>
                <w:szCs w:val="22"/>
                <w:lang w:val="it-IT"/>
              </w:rPr>
              <w:t>preverniciato</w:t>
            </w:r>
            <w:proofErr w:type="spellEnd"/>
            <w:r w:rsidRPr="009B2C9F">
              <w:rPr>
                <w:rFonts w:ascii="Calibri" w:hAnsi="Calibri" w:cs="Arial"/>
                <w:sz w:val="22"/>
                <w:szCs w:val="22"/>
                <w:lang w:val="it-IT"/>
              </w:rPr>
              <w:t xml:space="preserve"> spessore </w:t>
            </w:r>
            <w:smartTag w:uri="urn:schemas-microsoft-com:office:smarttags" w:element="metricconverter">
              <w:smartTagPr>
                <w:attr w:name="ProductID" w:val="0,7 mm"/>
              </w:smartTagPr>
              <w:r w:rsidRPr="009B2C9F">
                <w:rPr>
                  <w:rFonts w:ascii="Calibri" w:hAnsi="Calibri" w:cs="Arial"/>
                  <w:sz w:val="22"/>
                  <w:szCs w:val="22"/>
                  <w:lang w:val="it-IT"/>
                </w:rPr>
                <w:t>0,7 mm</w:t>
              </w:r>
            </w:smartTag>
            <w:r w:rsidRPr="009B2C9F">
              <w:rPr>
                <w:rFonts w:ascii="Calibri" w:hAnsi="Calibri" w:cs="Arial"/>
                <w:sz w:val="22"/>
                <w:szCs w:val="22"/>
                <w:lang w:val="it-IT"/>
              </w:rPr>
              <w:t xml:space="preserve"> </w:t>
            </w:r>
          </w:p>
        </w:tc>
      </w:tr>
      <w:tr w:rsidR="003119BF" w:rsidRPr="00556F89" w:rsidTr="009B2C9F">
        <w:tc>
          <w:tcPr>
            <w:tcW w:w="2093" w:type="dxa"/>
            <w:vAlign w:val="center"/>
          </w:tcPr>
          <w:p w:rsidR="003119BF" w:rsidRPr="009B2C9F" w:rsidRDefault="003119BF" w:rsidP="009B2C9F">
            <w:pPr>
              <w:tabs>
                <w:tab w:val="left" w:pos="284"/>
                <w:tab w:val="left" w:pos="600"/>
              </w:tabs>
              <w:ind w:left="209" w:right="142" w:hanging="209"/>
              <w:jc w:val="both"/>
              <w:rPr>
                <w:rFonts w:ascii="Calibri" w:hAnsi="Calibri" w:cs="Arial"/>
                <w:b/>
                <w:bCs/>
                <w:lang w:val="it-IT"/>
              </w:rPr>
            </w:pPr>
            <w:r w:rsidRPr="009B2C9F">
              <w:rPr>
                <w:rFonts w:ascii="Calibri" w:hAnsi="Calibri" w:cs="Arial"/>
                <w:b/>
                <w:bCs/>
                <w:sz w:val="22"/>
                <w:szCs w:val="22"/>
                <w:lang w:val="it-IT"/>
              </w:rPr>
              <w:t>Lato a vista:</w:t>
            </w:r>
          </w:p>
        </w:tc>
        <w:tc>
          <w:tcPr>
            <w:tcW w:w="7262" w:type="dxa"/>
            <w:vAlign w:val="center"/>
          </w:tcPr>
          <w:p w:rsidR="003119BF" w:rsidRPr="009B2C9F" w:rsidRDefault="003119BF" w:rsidP="009B2C9F">
            <w:pPr>
              <w:tabs>
                <w:tab w:val="left" w:pos="284"/>
                <w:tab w:val="left" w:pos="600"/>
              </w:tabs>
              <w:ind w:right="142"/>
              <w:jc w:val="both"/>
              <w:rPr>
                <w:rFonts w:ascii="Calibri" w:hAnsi="Calibri" w:cs="Arial"/>
                <w:lang w:val="it-IT"/>
              </w:rPr>
            </w:pPr>
            <w:r w:rsidRPr="009B2C9F">
              <w:rPr>
                <w:rFonts w:ascii="Calibri" w:hAnsi="Calibri" w:cs="Arial"/>
                <w:sz w:val="22"/>
                <w:szCs w:val="22"/>
                <w:lang w:val="it-IT"/>
              </w:rPr>
              <w:t>Doppio strato di verniciatura poliammidica poliuretanica di alta qualità in Coil Coating.</w:t>
            </w:r>
          </w:p>
        </w:tc>
      </w:tr>
      <w:tr w:rsidR="003119BF" w:rsidRPr="00856E6D" w:rsidTr="009B2C9F">
        <w:tc>
          <w:tcPr>
            <w:tcW w:w="2093" w:type="dxa"/>
            <w:tcBorders>
              <w:left w:val="nil"/>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b/>
                <w:bCs/>
                <w:lang w:val="it-IT"/>
              </w:rPr>
            </w:pPr>
            <w:r w:rsidRPr="009B2C9F">
              <w:rPr>
                <w:rFonts w:ascii="Calibri" w:hAnsi="Calibri" w:cs="Arial"/>
                <w:b/>
                <w:bCs/>
                <w:sz w:val="22"/>
                <w:szCs w:val="22"/>
                <w:lang w:val="it-IT"/>
              </w:rPr>
              <w:t>Lato posteriore:</w:t>
            </w:r>
          </w:p>
        </w:tc>
        <w:tc>
          <w:tcPr>
            <w:tcW w:w="7262" w:type="dxa"/>
            <w:tcBorders>
              <w:left w:val="nil"/>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lang w:val="it-IT"/>
              </w:rPr>
            </w:pPr>
            <w:r w:rsidRPr="009B2C9F">
              <w:rPr>
                <w:rFonts w:ascii="Calibri" w:hAnsi="Calibri" w:cs="Arial"/>
                <w:sz w:val="22"/>
                <w:szCs w:val="22"/>
                <w:lang w:val="it-IT"/>
              </w:rPr>
              <w:t xml:space="preserve">Primer protettivo </w:t>
            </w:r>
          </w:p>
        </w:tc>
      </w:tr>
      <w:tr w:rsidR="003119BF" w:rsidRPr="00556F89" w:rsidTr="009B2C9F">
        <w:tc>
          <w:tcPr>
            <w:tcW w:w="2093" w:type="dxa"/>
            <w:vAlign w:val="center"/>
          </w:tcPr>
          <w:p w:rsidR="003119BF" w:rsidRPr="009B2C9F" w:rsidRDefault="003119BF" w:rsidP="009B2C9F">
            <w:pPr>
              <w:tabs>
                <w:tab w:val="left" w:pos="284"/>
                <w:tab w:val="left" w:pos="600"/>
              </w:tabs>
              <w:ind w:right="142"/>
              <w:jc w:val="both"/>
              <w:rPr>
                <w:rFonts w:ascii="Calibri" w:hAnsi="Calibri" w:cs="Arial"/>
                <w:b/>
                <w:bCs/>
                <w:lang w:val="it-IT"/>
              </w:rPr>
            </w:pPr>
            <w:r w:rsidRPr="009B2C9F">
              <w:rPr>
                <w:rFonts w:ascii="Calibri" w:hAnsi="Calibri" w:cs="Arial"/>
                <w:b/>
                <w:bCs/>
                <w:sz w:val="22"/>
                <w:szCs w:val="22"/>
                <w:lang w:val="it-IT"/>
              </w:rPr>
              <w:t>Formato:</w:t>
            </w:r>
          </w:p>
        </w:tc>
        <w:tc>
          <w:tcPr>
            <w:tcW w:w="7262" w:type="dxa"/>
            <w:vAlign w:val="center"/>
          </w:tcPr>
          <w:p w:rsidR="003119BF" w:rsidRPr="009B2C9F" w:rsidRDefault="003119BF" w:rsidP="009B2C9F">
            <w:pPr>
              <w:tabs>
                <w:tab w:val="left" w:pos="284"/>
                <w:tab w:val="left" w:pos="600"/>
              </w:tabs>
              <w:ind w:right="142"/>
              <w:rPr>
                <w:rFonts w:ascii="Calibri" w:hAnsi="Calibri" w:cs="Arial"/>
                <w:lang w:val="it-IT"/>
              </w:rPr>
            </w:pPr>
            <w:r w:rsidRPr="009B2C9F">
              <w:rPr>
                <w:rFonts w:ascii="Calibri" w:hAnsi="Calibri" w:cs="Arial"/>
                <w:sz w:val="22"/>
                <w:szCs w:val="22"/>
                <w:lang w:val="it-IT"/>
              </w:rPr>
              <w:t>0,70 × 650 mm</w:t>
            </w:r>
            <w:r w:rsidRPr="009B2C9F">
              <w:rPr>
                <w:rFonts w:ascii="Calibri" w:hAnsi="Calibri" w:cs="Arial"/>
                <w:sz w:val="22"/>
                <w:szCs w:val="22"/>
                <w:lang w:val="it-IT"/>
              </w:rPr>
              <w:br/>
              <w:t>0,70 × 500 mm</w:t>
            </w:r>
            <w:r w:rsidRPr="009B2C9F">
              <w:rPr>
                <w:rFonts w:ascii="Calibri" w:hAnsi="Calibri" w:cs="Arial"/>
                <w:sz w:val="22"/>
                <w:szCs w:val="22"/>
                <w:lang w:val="it-IT"/>
              </w:rPr>
              <w:br/>
              <w:t>0,70 × 1000 mm (solo come nastro di complemento)</w:t>
            </w:r>
          </w:p>
        </w:tc>
      </w:tr>
      <w:tr w:rsidR="003119BF" w:rsidRPr="00556F89" w:rsidTr="009B2C9F">
        <w:tc>
          <w:tcPr>
            <w:tcW w:w="2093" w:type="dxa"/>
            <w:tcBorders>
              <w:left w:val="nil"/>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b/>
                <w:bCs/>
                <w:lang w:val="it-IT"/>
              </w:rPr>
            </w:pPr>
            <w:r w:rsidRPr="009B2C9F">
              <w:rPr>
                <w:rFonts w:ascii="Calibri" w:hAnsi="Calibri" w:cs="Arial"/>
                <w:b/>
                <w:bCs/>
                <w:sz w:val="22"/>
                <w:szCs w:val="22"/>
                <w:lang w:val="it-IT"/>
              </w:rPr>
              <w:t>Peso:</w:t>
            </w:r>
          </w:p>
        </w:tc>
        <w:tc>
          <w:tcPr>
            <w:tcW w:w="7262" w:type="dxa"/>
            <w:tcBorders>
              <w:left w:val="nil"/>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lang w:val="it-IT"/>
              </w:rPr>
            </w:pPr>
            <w:r w:rsidRPr="009B2C9F">
              <w:rPr>
                <w:rFonts w:ascii="Calibri" w:hAnsi="Calibri" w:cs="Arial"/>
                <w:sz w:val="22"/>
                <w:szCs w:val="22"/>
                <w:lang w:val="it-IT"/>
              </w:rPr>
              <w:t xml:space="preserve">1,89 kg/m²: </w:t>
            </w:r>
            <w:proofErr w:type="spellStart"/>
            <w:r w:rsidRPr="009B2C9F">
              <w:rPr>
                <w:rFonts w:ascii="Calibri" w:hAnsi="Calibri" w:cs="Arial"/>
                <w:sz w:val="22"/>
                <w:szCs w:val="22"/>
                <w:lang w:val="it-IT"/>
              </w:rPr>
              <w:t>ca</w:t>
            </w:r>
            <w:proofErr w:type="spellEnd"/>
            <w:r w:rsidRPr="009B2C9F">
              <w:rPr>
                <w:rFonts w:ascii="Calibri" w:hAnsi="Calibri" w:cs="Arial"/>
                <w:sz w:val="22"/>
                <w:szCs w:val="22"/>
                <w:lang w:val="it-IT"/>
              </w:rPr>
              <w:t xml:space="preserve">. 2,3 kg/m² di superficie per </w:t>
            </w:r>
            <w:proofErr w:type="spellStart"/>
            <w:r w:rsidRPr="009B2C9F">
              <w:rPr>
                <w:rFonts w:ascii="Calibri" w:hAnsi="Calibri" w:cs="Arial"/>
                <w:sz w:val="22"/>
                <w:szCs w:val="22"/>
                <w:lang w:val="it-IT"/>
              </w:rPr>
              <w:t>Prefalz</w:t>
            </w:r>
            <w:proofErr w:type="spellEnd"/>
            <w:r w:rsidRPr="009B2C9F">
              <w:rPr>
                <w:rFonts w:ascii="Calibri" w:hAnsi="Calibri" w:cs="Arial"/>
                <w:sz w:val="22"/>
                <w:szCs w:val="22"/>
                <w:lang w:val="it-IT"/>
              </w:rPr>
              <w:t xml:space="preserve">® 500, </w:t>
            </w:r>
          </w:p>
          <w:p w:rsidR="003119BF" w:rsidRPr="009B2C9F" w:rsidRDefault="003119BF" w:rsidP="009B2C9F">
            <w:pPr>
              <w:tabs>
                <w:tab w:val="left" w:pos="284"/>
                <w:tab w:val="left" w:pos="600"/>
              </w:tabs>
              <w:ind w:left="949" w:right="142"/>
              <w:jc w:val="both"/>
              <w:rPr>
                <w:rFonts w:ascii="Calibri" w:hAnsi="Calibri" w:cs="Arial"/>
                <w:lang w:val="it-IT"/>
              </w:rPr>
            </w:pPr>
            <w:r w:rsidRPr="009B2C9F">
              <w:rPr>
                <w:rFonts w:ascii="Calibri" w:hAnsi="Calibri" w:cs="Arial"/>
                <w:sz w:val="22"/>
                <w:szCs w:val="22"/>
                <w:lang w:val="it-IT"/>
              </w:rPr>
              <w:t xml:space="preserve">   </w:t>
            </w:r>
            <w:proofErr w:type="spellStart"/>
            <w:r w:rsidRPr="009B2C9F">
              <w:rPr>
                <w:rFonts w:ascii="Calibri" w:hAnsi="Calibri" w:cs="Arial"/>
                <w:sz w:val="22"/>
                <w:szCs w:val="22"/>
                <w:lang w:val="it-IT"/>
              </w:rPr>
              <w:t>ca</w:t>
            </w:r>
            <w:proofErr w:type="spellEnd"/>
            <w:r w:rsidRPr="009B2C9F">
              <w:rPr>
                <w:rFonts w:ascii="Calibri" w:hAnsi="Calibri" w:cs="Arial"/>
                <w:sz w:val="22"/>
                <w:szCs w:val="22"/>
                <w:lang w:val="it-IT"/>
              </w:rPr>
              <w:t xml:space="preserve">. 2,2 kg/m² di superficie per </w:t>
            </w:r>
            <w:proofErr w:type="spellStart"/>
            <w:r w:rsidRPr="009B2C9F">
              <w:rPr>
                <w:rFonts w:ascii="Calibri" w:hAnsi="Calibri" w:cs="Arial"/>
                <w:sz w:val="22"/>
                <w:szCs w:val="22"/>
                <w:lang w:val="it-IT"/>
              </w:rPr>
              <w:t>Prefalz</w:t>
            </w:r>
            <w:proofErr w:type="spellEnd"/>
            <w:r w:rsidRPr="009B2C9F">
              <w:rPr>
                <w:rFonts w:ascii="Calibri" w:hAnsi="Calibri" w:cs="Arial"/>
                <w:sz w:val="22"/>
                <w:szCs w:val="22"/>
                <w:lang w:val="it-IT"/>
              </w:rPr>
              <w:t>® 650</w:t>
            </w:r>
          </w:p>
        </w:tc>
      </w:tr>
      <w:tr w:rsidR="003119BF" w:rsidRPr="00556F89" w:rsidTr="009B2C9F">
        <w:tc>
          <w:tcPr>
            <w:tcW w:w="2093" w:type="dxa"/>
            <w:vAlign w:val="center"/>
          </w:tcPr>
          <w:p w:rsidR="003119BF" w:rsidRPr="009B2C9F" w:rsidRDefault="003119BF" w:rsidP="009B2C9F">
            <w:pPr>
              <w:tabs>
                <w:tab w:val="left" w:pos="284"/>
                <w:tab w:val="left" w:pos="600"/>
              </w:tabs>
              <w:ind w:right="142"/>
              <w:jc w:val="both"/>
              <w:rPr>
                <w:rFonts w:ascii="Calibri" w:hAnsi="Calibri" w:cs="Arial"/>
                <w:b/>
                <w:bCs/>
                <w:lang w:val="it-IT"/>
              </w:rPr>
            </w:pPr>
            <w:r w:rsidRPr="009B2C9F">
              <w:rPr>
                <w:rFonts w:ascii="Calibri" w:hAnsi="Calibri" w:cs="Arial"/>
                <w:b/>
                <w:bCs/>
                <w:sz w:val="22"/>
                <w:szCs w:val="22"/>
                <w:lang w:val="it-IT"/>
              </w:rPr>
              <w:t>Posa:</w:t>
            </w:r>
          </w:p>
        </w:tc>
        <w:tc>
          <w:tcPr>
            <w:tcW w:w="7262" w:type="dxa"/>
            <w:vAlign w:val="center"/>
          </w:tcPr>
          <w:p w:rsidR="003119BF" w:rsidRPr="009B2C9F" w:rsidRDefault="003119BF" w:rsidP="009B2C9F">
            <w:pPr>
              <w:tabs>
                <w:tab w:val="left" w:pos="284"/>
                <w:tab w:val="left" w:pos="600"/>
              </w:tabs>
              <w:ind w:right="142"/>
              <w:jc w:val="both"/>
              <w:rPr>
                <w:rFonts w:ascii="Calibri" w:hAnsi="Calibri" w:cs="Arial"/>
                <w:lang w:val="it-IT"/>
              </w:rPr>
            </w:pPr>
            <w:r w:rsidRPr="009B2C9F">
              <w:rPr>
                <w:rFonts w:ascii="Calibri" w:hAnsi="Calibri" w:cs="Arial"/>
                <w:sz w:val="22"/>
                <w:szCs w:val="22"/>
                <w:lang w:val="it-IT"/>
              </w:rPr>
              <w:t>Facilmente lavorabile anche alle basse temperature</w:t>
            </w:r>
          </w:p>
        </w:tc>
      </w:tr>
      <w:tr w:rsidR="003119BF" w:rsidRPr="00556F89" w:rsidTr="009B2C9F">
        <w:tc>
          <w:tcPr>
            <w:tcW w:w="2093" w:type="dxa"/>
            <w:tcBorders>
              <w:left w:val="nil"/>
              <w:bottom w:val="single" w:sz="8" w:space="0" w:color="C0504D"/>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b/>
                <w:bCs/>
                <w:lang w:val="it-IT"/>
              </w:rPr>
            </w:pPr>
            <w:r w:rsidRPr="009B2C9F">
              <w:rPr>
                <w:rFonts w:ascii="Calibri" w:hAnsi="Calibri" w:cs="Arial"/>
                <w:b/>
                <w:bCs/>
                <w:sz w:val="22"/>
                <w:szCs w:val="22"/>
                <w:lang w:val="it-IT"/>
              </w:rPr>
              <w:t>Gamma colori:</w:t>
            </w:r>
          </w:p>
        </w:tc>
        <w:tc>
          <w:tcPr>
            <w:tcW w:w="7262" w:type="dxa"/>
            <w:tcBorders>
              <w:left w:val="nil"/>
              <w:bottom w:val="single" w:sz="8" w:space="0" w:color="C0504D"/>
              <w:right w:val="nil"/>
            </w:tcBorders>
            <w:shd w:val="clear" w:color="auto" w:fill="EFD3D2"/>
            <w:vAlign w:val="center"/>
          </w:tcPr>
          <w:p w:rsidR="003119BF" w:rsidRPr="009B2C9F" w:rsidRDefault="003119BF" w:rsidP="009B2C9F">
            <w:pPr>
              <w:tabs>
                <w:tab w:val="left" w:pos="284"/>
                <w:tab w:val="left" w:pos="600"/>
              </w:tabs>
              <w:ind w:right="142"/>
              <w:jc w:val="both"/>
              <w:rPr>
                <w:rFonts w:ascii="Calibri" w:hAnsi="Calibri" w:cs="Arial"/>
                <w:lang w:val="it-IT"/>
              </w:rPr>
            </w:pPr>
            <w:r w:rsidRPr="009B2C9F">
              <w:rPr>
                <w:rFonts w:ascii="Calibri" w:hAnsi="Calibri" w:cs="Arial"/>
                <w:sz w:val="22"/>
                <w:szCs w:val="22"/>
                <w:lang w:val="it-IT"/>
              </w:rPr>
              <w:t>Disponibile in 19 colori standard (Superficie liscia o goffrata).</w:t>
            </w:r>
          </w:p>
        </w:tc>
      </w:tr>
    </w:tbl>
    <w:p w:rsidR="003119BF" w:rsidRPr="00164F41" w:rsidRDefault="003119BF" w:rsidP="00F26097">
      <w:pPr>
        <w:tabs>
          <w:tab w:val="left" w:pos="8520"/>
        </w:tabs>
        <w:autoSpaceDE w:val="0"/>
        <w:autoSpaceDN w:val="0"/>
        <w:adjustRightInd w:val="0"/>
        <w:spacing w:after="120" w:line="276" w:lineRule="auto"/>
        <w:ind w:left="284" w:right="141"/>
        <w:jc w:val="both"/>
        <w:rPr>
          <w:rFonts w:ascii="Calibri" w:hAnsi="Calibri" w:cs="Arial"/>
          <w:b/>
          <w:sz w:val="22"/>
          <w:szCs w:val="22"/>
          <w:lang w:val="it-IT" w:eastAsia="ko-KR"/>
        </w:rPr>
      </w:pPr>
    </w:p>
    <w:p w:rsidR="003119BF" w:rsidRPr="00164F41" w:rsidRDefault="003119BF" w:rsidP="00F26097">
      <w:pPr>
        <w:tabs>
          <w:tab w:val="left" w:pos="8520"/>
        </w:tabs>
        <w:autoSpaceDE w:val="0"/>
        <w:autoSpaceDN w:val="0"/>
        <w:adjustRightInd w:val="0"/>
        <w:spacing w:after="120" w:line="276" w:lineRule="auto"/>
        <w:ind w:left="284" w:right="141"/>
        <w:jc w:val="both"/>
        <w:rPr>
          <w:rFonts w:ascii="Calibri" w:hAnsi="Calibri" w:cs="Arial"/>
          <w:b/>
          <w:sz w:val="22"/>
          <w:szCs w:val="22"/>
          <w:lang w:val="it-IT" w:eastAsia="ko-KR"/>
        </w:rPr>
      </w:pPr>
      <w:r w:rsidRPr="00164F41">
        <w:rPr>
          <w:rFonts w:ascii="Calibri" w:hAnsi="Calibri" w:cs="Arial"/>
          <w:b/>
          <w:sz w:val="22"/>
          <w:szCs w:val="22"/>
          <w:lang w:val="it-IT" w:eastAsia="ko-KR"/>
        </w:rPr>
        <w:t>PREFA Italia Srl</w:t>
      </w:r>
    </w:p>
    <w:p w:rsidR="003119BF" w:rsidRPr="00164F41" w:rsidRDefault="003119BF" w:rsidP="00F26097">
      <w:pPr>
        <w:tabs>
          <w:tab w:val="left" w:pos="8520"/>
        </w:tabs>
        <w:autoSpaceDE w:val="0"/>
        <w:autoSpaceDN w:val="0"/>
        <w:adjustRightInd w:val="0"/>
        <w:spacing w:after="120" w:line="276" w:lineRule="auto"/>
        <w:ind w:left="284" w:right="141"/>
        <w:jc w:val="both"/>
        <w:rPr>
          <w:rFonts w:ascii="Calibri" w:hAnsi="Calibri" w:cs="Arial"/>
          <w:sz w:val="18"/>
          <w:szCs w:val="18"/>
          <w:lang w:val="it-IT" w:eastAsia="ko-KR"/>
        </w:rPr>
      </w:pPr>
      <w:r w:rsidRPr="00164F41">
        <w:rPr>
          <w:rFonts w:ascii="Calibri" w:hAnsi="Calibri" w:cs="Arial"/>
          <w:sz w:val="18"/>
          <w:szCs w:val="18"/>
          <w:lang w:val="it-IT" w:eastAsia="ko-KR"/>
        </w:rPr>
        <w:t>Via Negrelli, 23 – 39100 BOLZANO</w:t>
      </w:r>
    </w:p>
    <w:p w:rsidR="003119BF" w:rsidRPr="00BC2290" w:rsidRDefault="003119BF" w:rsidP="00F26097">
      <w:pPr>
        <w:tabs>
          <w:tab w:val="left" w:pos="8520"/>
        </w:tabs>
        <w:autoSpaceDE w:val="0"/>
        <w:autoSpaceDN w:val="0"/>
        <w:adjustRightInd w:val="0"/>
        <w:spacing w:after="120" w:line="276" w:lineRule="auto"/>
        <w:ind w:left="284" w:right="141"/>
        <w:jc w:val="both"/>
        <w:rPr>
          <w:rFonts w:ascii="Calibri" w:hAnsi="Calibri" w:cs="Arial"/>
          <w:sz w:val="18"/>
          <w:szCs w:val="18"/>
          <w:lang w:val="en-US" w:eastAsia="ko-KR"/>
        </w:rPr>
      </w:pPr>
      <w:r w:rsidRPr="00BC2290">
        <w:rPr>
          <w:rFonts w:ascii="Calibri" w:hAnsi="Calibri" w:cs="Arial"/>
          <w:sz w:val="18"/>
          <w:szCs w:val="18"/>
          <w:lang w:val="en-US" w:eastAsia="ko-KR"/>
        </w:rPr>
        <w:t>T. +39 0471 068680 - F: +39 0471 068690</w:t>
      </w:r>
    </w:p>
    <w:p w:rsidR="003119BF" w:rsidRPr="00BC2290" w:rsidRDefault="00556F89" w:rsidP="00F26097">
      <w:pPr>
        <w:tabs>
          <w:tab w:val="left" w:pos="8520"/>
        </w:tabs>
        <w:autoSpaceDE w:val="0"/>
        <w:autoSpaceDN w:val="0"/>
        <w:adjustRightInd w:val="0"/>
        <w:spacing w:after="120" w:line="276" w:lineRule="auto"/>
        <w:ind w:left="284" w:right="141"/>
        <w:jc w:val="both"/>
        <w:rPr>
          <w:rFonts w:ascii="Calibri" w:hAnsi="Calibri" w:cs="Arial"/>
          <w:color w:val="0070C0"/>
          <w:sz w:val="18"/>
          <w:szCs w:val="18"/>
          <w:lang w:val="en-US" w:eastAsia="ko-KR"/>
        </w:rPr>
      </w:pPr>
      <w:hyperlink r:id="rId7" w:history="1">
        <w:r w:rsidR="003119BF" w:rsidRPr="00BC2290">
          <w:rPr>
            <w:rFonts w:ascii="Calibri" w:hAnsi="Calibri" w:cs="Arial"/>
            <w:color w:val="0070C0"/>
            <w:sz w:val="18"/>
            <w:szCs w:val="18"/>
            <w:lang w:val="en-US" w:eastAsia="ko-KR"/>
          </w:rPr>
          <w:t>office.it@prefa.com</w:t>
        </w:r>
      </w:hyperlink>
      <w:r w:rsidR="003119BF" w:rsidRPr="00BC2290">
        <w:rPr>
          <w:rFonts w:ascii="Calibri" w:hAnsi="Calibri" w:cs="Arial"/>
          <w:color w:val="0070C0"/>
          <w:sz w:val="18"/>
          <w:szCs w:val="18"/>
          <w:lang w:val="en-US" w:eastAsia="ko-KR"/>
        </w:rPr>
        <w:t xml:space="preserve">  - </w:t>
      </w:r>
      <w:hyperlink r:id="rId8" w:history="1">
        <w:r w:rsidR="003119BF" w:rsidRPr="00BC2290">
          <w:rPr>
            <w:rFonts w:ascii="Calibri" w:hAnsi="Calibri" w:cs="Arial"/>
            <w:color w:val="0070C0"/>
            <w:sz w:val="18"/>
            <w:szCs w:val="18"/>
            <w:lang w:val="en-US" w:eastAsia="ko-KR"/>
          </w:rPr>
          <w:t>www.prefa.com</w:t>
        </w:r>
      </w:hyperlink>
    </w:p>
    <w:p w:rsidR="003119BF" w:rsidRPr="00BC2290" w:rsidRDefault="003119BF" w:rsidP="00F26097">
      <w:pPr>
        <w:tabs>
          <w:tab w:val="left" w:pos="8520"/>
        </w:tabs>
        <w:autoSpaceDE w:val="0"/>
        <w:autoSpaceDN w:val="0"/>
        <w:adjustRightInd w:val="0"/>
        <w:spacing w:after="120" w:line="276" w:lineRule="auto"/>
        <w:ind w:left="284" w:right="141"/>
        <w:jc w:val="both"/>
        <w:rPr>
          <w:rFonts w:ascii="Calibri" w:hAnsi="Calibri" w:cs="Arial"/>
          <w:b/>
          <w:i/>
          <w:sz w:val="22"/>
          <w:szCs w:val="22"/>
          <w:lang w:val="en-US" w:eastAsia="en-US"/>
        </w:rPr>
      </w:pPr>
    </w:p>
    <w:p w:rsidR="003119BF" w:rsidRPr="00556F89" w:rsidRDefault="003119BF" w:rsidP="00556F89">
      <w:pPr>
        <w:tabs>
          <w:tab w:val="left" w:pos="8520"/>
        </w:tabs>
        <w:autoSpaceDE w:val="0"/>
        <w:autoSpaceDN w:val="0"/>
        <w:adjustRightInd w:val="0"/>
        <w:spacing w:after="120" w:line="276" w:lineRule="auto"/>
        <w:ind w:right="141"/>
        <w:jc w:val="both"/>
        <w:rPr>
          <w:rStyle w:val="Hyperlink"/>
          <w:rFonts w:ascii="Calibri" w:hAnsi="Calibri" w:cs="Arial"/>
          <w:color w:val="auto"/>
          <w:sz w:val="22"/>
          <w:szCs w:val="22"/>
          <w:u w:val="none"/>
          <w:lang w:val="it-IT" w:eastAsia="en-US"/>
        </w:rPr>
      </w:pPr>
      <w:bookmarkStart w:id="0" w:name="_GoBack"/>
      <w:bookmarkEnd w:id="0"/>
    </w:p>
    <w:sectPr w:rsidR="003119BF" w:rsidRPr="00556F89" w:rsidSect="00115823">
      <w:headerReference w:type="default" r:id="rId9"/>
      <w:footerReference w:type="default" r:id="rId10"/>
      <w:type w:val="continuous"/>
      <w:pgSz w:w="11907" w:h="16840" w:code="9"/>
      <w:pgMar w:top="2127" w:right="1225" w:bottom="1560" w:left="958" w:header="488" w:footer="198" w:gutter="0"/>
      <w:paperSrc w:first="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BF" w:rsidRDefault="003119BF">
      <w:r>
        <w:separator/>
      </w:r>
    </w:p>
  </w:endnote>
  <w:endnote w:type="continuationSeparator" w:id="0">
    <w:p w:rsidR="003119BF" w:rsidRDefault="0031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imbach LT">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INOT-CondBlac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BF" w:rsidRDefault="006203A0" w:rsidP="00CC6F22">
    <w:pPr>
      <w:pStyle w:val="Fuzeile"/>
      <w:tabs>
        <w:tab w:val="left" w:pos="700"/>
      </w:tabs>
    </w:pPr>
    <w:r>
      <w:rPr>
        <w:noProof/>
        <w:lang w:val="de-AT" w:eastAsia="de-AT"/>
      </w:rPr>
      <w:drawing>
        <wp:inline distT="0" distB="0" distL="0" distR="0">
          <wp:extent cx="6953250" cy="342900"/>
          <wp:effectExtent l="0" t="0" r="0" b="0"/>
          <wp:docPr id="7" name="Immagine 6" descr="Fußzeile_IT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Fußzeile_IT_2015"/>
                  <pic:cNvPicPr>
                    <a:picLocks noChangeAspect="1" noChangeArrowheads="1"/>
                  </pic:cNvPicPr>
                </pic:nvPicPr>
                <pic:blipFill>
                  <a:blip r:embed="rId1">
                    <a:extLst>
                      <a:ext uri="{28A0092B-C50C-407E-A947-70E740481C1C}">
                        <a14:useLocalDpi xmlns:a14="http://schemas.microsoft.com/office/drawing/2010/main" val="0"/>
                      </a:ext>
                    </a:extLst>
                  </a:blip>
                  <a:srcRect l="4218"/>
                  <a:stretch>
                    <a:fillRect/>
                  </a:stretch>
                </pic:blipFill>
                <pic:spPr bwMode="auto">
                  <a:xfrm>
                    <a:off x="0" y="0"/>
                    <a:ext cx="695325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BF" w:rsidRDefault="003119BF">
      <w:r>
        <w:separator/>
      </w:r>
    </w:p>
  </w:footnote>
  <w:footnote w:type="continuationSeparator" w:id="0">
    <w:p w:rsidR="003119BF" w:rsidRDefault="0031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BF" w:rsidRDefault="003119BF" w:rsidP="00CC6F22">
    <w:pPr>
      <w:pStyle w:val="Kopfzeile"/>
      <w:tabs>
        <w:tab w:val="left" w:pos="200"/>
      </w:tabs>
      <w:ind w:left="-850"/>
    </w:pPr>
    <w:r>
      <w:t xml:space="preserve">               </w:t>
    </w:r>
    <w:r w:rsidR="006203A0">
      <w:rPr>
        <w:noProof/>
        <w:lang w:val="de-AT" w:eastAsia="de-AT"/>
      </w:rPr>
      <w:drawing>
        <wp:inline distT="0" distB="0" distL="0" distR="0">
          <wp:extent cx="3057525" cy="857250"/>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394"/>
    <w:multiLevelType w:val="hybridMultilevel"/>
    <w:tmpl w:val="A04ADB8E"/>
    <w:lvl w:ilvl="0" w:tplc="77BAAE64">
      <w:numFmt w:val="bullet"/>
      <w:lvlText w:val="-"/>
      <w:lvlJc w:val="left"/>
      <w:pPr>
        <w:ind w:left="644" w:hanging="360"/>
      </w:pPr>
      <w:rPr>
        <w:rFonts w:ascii="Arial" w:eastAsia="Times New Roman" w:hAnsi="Aria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374A47E2"/>
    <w:multiLevelType w:val="hybridMultilevel"/>
    <w:tmpl w:val="3F9CA6F8"/>
    <w:lvl w:ilvl="0" w:tplc="C596B556">
      <w:numFmt w:val="bullet"/>
      <w:lvlText w:val="-"/>
      <w:lvlJc w:val="left"/>
      <w:pPr>
        <w:ind w:left="600" w:hanging="360"/>
      </w:pPr>
      <w:rPr>
        <w:rFonts w:ascii="Slimbach LT" w:eastAsia="Times New Roman" w:hAnsi="Slimbach LT" w:hint="default"/>
      </w:rPr>
    </w:lvl>
    <w:lvl w:ilvl="1" w:tplc="04070003" w:tentative="1">
      <w:start w:val="1"/>
      <w:numFmt w:val="bullet"/>
      <w:lvlText w:val="o"/>
      <w:lvlJc w:val="left"/>
      <w:pPr>
        <w:ind w:left="1320" w:hanging="360"/>
      </w:pPr>
      <w:rPr>
        <w:rFonts w:ascii="Courier New" w:hAnsi="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2" w15:restartNumberingAfterBreak="0">
    <w:nsid w:val="3E725BDE"/>
    <w:multiLevelType w:val="hybridMultilevel"/>
    <w:tmpl w:val="32B222E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 w15:restartNumberingAfterBreak="0">
    <w:nsid w:val="470E2C40"/>
    <w:multiLevelType w:val="hybridMultilevel"/>
    <w:tmpl w:val="93F0F1DA"/>
    <w:lvl w:ilvl="0" w:tplc="181674C8">
      <w:numFmt w:val="bullet"/>
      <w:lvlText w:val="-"/>
      <w:lvlJc w:val="left"/>
      <w:pPr>
        <w:ind w:left="72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6"/>
    <w:rsid w:val="00003282"/>
    <w:rsid w:val="000055DF"/>
    <w:rsid w:val="000163F1"/>
    <w:rsid w:val="0002171D"/>
    <w:rsid w:val="0002272E"/>
    <w:rsid w:val="00024665"/>
    <w:rsid w:val="00042463"/>
    <w:rsid w:val="0004467B"/>
    <w:rsid w:val="00060A34"/>
    <w:rsid w:val="00062EF2"/>
    <w:rsid w:val="00063672"/>
    <w:rsid w:val="0006772B"/>
    <w:rsid w:val="00071962"/>
    <w:rsid w:val="00072301"/>
    <w:rsid w:val="00084E54"/>
    <w:rsid w:val="0008508C"/>
    <w:rsid w:val="00085A44"/>
    <w:rsid w:val="00093291"/>
    <w:rsid w:val="00095182"/>
    <w:rsid w:val="00097806"/>
    <w:rsid w:val="00097E85"/>
    <w:rsid w:val="000A44EA"/>
    <w:rsid w:val="000B1E3A"/>
    <w:rsid w:val="000B4604"/>
    <w:rsid w:val="000D0630"/>
    <w:rsid w:val="000D7847"/>
    <w:rsid w:val="000F4A05"/>
    <w:rsid w:val="0010092E"/>
    <w:rsid w:val="00100F76"/>
    <w:rsid w:val="0011299B"/>
    <w:rsid w:val="00112BBE"/>
    <w:rsid w:val="001134C2"/>
    <w:rsid w:val="00114DCE"/>
    <w:rsid w:val="00115823"/>
    <w:rsid w:val="00123C62"/>
    <w:rsid w:val="0012430E"/>
    <w:rsid w:val="0013556F"/>
    <w:rsid w:val="00137184"/>
    <w:rsid w:val="00140894"/>
    <w:rsid w:val="001435DA"/>
    <w:rsid w:val="00144B4D"/>
    <w:rsid w:val="00147306"/>
    <w:rsid w:val="00147516"/>
    <w:rsid w:val="001565A4"/>
    <w:rsid w:val="00156936"/>
    <w:rsid w:val="00156BED"/>
    <w:rsid w:val="00164F41"/>
    <w:rsid w:val="0016640B"/>
    <w:rsid w:val="00166A4A"/>
    <w:rsid w:val="00177374"/>
    <w:rsid w:val="00184820"/>
    <w:rsid w:val="00185EC2"/>
    <w:rsid w:val="0019678E"/>
    <w:rsid w:val="001D444E"/>
    <w:rsid w:val="001D4608"/>
    <w:rsid w:val="001D6F44"/>
    <w:rsid w:val="001D78B3"/>
    <w:rsid w:val="001E6FB6"/>
    <w:rsid w:val="001E76C4"/>
    <w:rsid w:val="0020474B"/>
    <w:rsid w:val="00210154"/>
    <w:rsid w:val="00216843"/>
    <w:rsid w:val="002275B7"/>
    <w:rsid w:val="00241849"/>
    <w:rsid w:val="002507FC"/>
    <w:rsid w:val="00250A54"/>
    <w:rsid w:val="0026715F"/>
    <w:rsid w:val="00272433"/>
    <w:rsid w:val="002842F9"/>
    <w:rsid w:val="0028535A"/>
    <w:rsid w:val="00291EF0"/>
    <w:rsid w:val="00292C79"/>
    <w:rsid w:val="002A0174"/>
    <w:rsid w:val="002A652E"/>
    <w:rsid w:val="002A6862"/>
    <w:rsid w:val="002B0CDC"/>
    <w:rsid w:val="002B17DB"/>
    <w:rsid w:val="002D5ED2"/>
    <w:rsid w:val="002F689F"/>
    <w:rsid w:val="003119BF"/>
    <w:rsid w:val="0031355A"/>
    <w:rsid w:val="003233FD"/>
    <w:rsid w:val="00326246"/>
    <w:rsid w:val="00331837"/>
    <w:rsid w:val="00347583"/>
    <w:rsid w:val="00357186"/>
    <w:rsid w:val="0036236D"/>
    <w:rsid w:val="00367039"/>
    <w:rsid w:val="00372B3F"/>
    <w:rsid w:val="00374E9D"/>
    <w:rsid w:val="00376818"/>
    <w:rsid w:val="00383059"/>
    <w:rsid w:val="00384463"/>
    <w:rsid w:val="003850A1"/>
    <w:rsid w:val="00390FCB"/>
    <w:rsid w:val="00394FF2"/>
    <w:rsid w:val="003A0F67"/>
    <w:rsid w:val="003B17BF"/>
    <w:rsid w:val="003C0F49"/>
    <w:rsid w:val="003D144E"/>
    <w:rsid w:val="003E4294"/>
    <w:rsid w:val="003F1125"/>
    <w:rsid w:val="003F6C1E"/>
    <w:rsid w:val="003F78DA"/>
    <w:rsid w:val="00403B5A"/>
    <w:rsid w:val="00404DC6"/>
    <w:rsid w:val="004145AC"/>
    <w:rsid w:val="00423DCB"/>
    <w:rsid w:val="00432B37"/>
    <w:rsid w:val="00433BCD"/>
    <w:rsid w:val="004341F3"/>
    <w:rsid w:val="004759A7"/>
    <w:rsid w:val="0047611B"/>
    <w:rsid w:val="00477828"/>
    <w:rsid w:val="00481994"/>
    <w:rsid w:val="00491591"/>
    <w:rsid w:val="00491B57"/>
    <w:rsid w:val="00493E9B"/>
    <w:rsid w:val="004A5990"/>
    <w:rsid w:val="004B6AE4"/>
    <w:rsid w:val="004C4C92"/>
    <w:rsid w:val="004C709D"/>
    <w:rsid w:val="004D254B"/>
    <w:rsid w:val="004D6F12"/>
    <w:rsid w:val="004E2A33"/>
    <w:rsid w:val="004E7AEF"/>
    <w:rsid w:val="004F1CC3"/>
    <w:rsid w:val="004F63C3"/>
    <w:rsid w:val="004F64B6"/>
    <w:rsid w:val="004F77EE"/>
    <w:rsid w:val="0050069F"/>
    <w:rsid w:val="00503E0B"/>
    <w:rsid w:val="005207FC"/>
    <w:rsid w:val="0053697C"/>
    <w:rsid w:val="00540FFA"/>
    <w:rsid w:val="0054269C"/>
    <w:rsid w:val="005560C7"/>
    <w:rsid w:val="00556F89"/>
    <w:rsid w:val="00577EB7"/>
    <w:rsid w:val="005C1974"/>
    <w:rsid w:val="005C48E0"/>
    <w:rsid w:val="005D0B48"/>
    <w:rsid w:val="005D1993"/>
    <w:rsid w:val="005D270A"/>
    <w:rsid w:val="005E1DB4"/>
    <w:rsid w:val="005E77D5"/>
    <w:rsid w:val="0060218C"/>
    <w:rsid w:val="006021F3"/>
    <w:rsid w:val="0060477E"/>
    <w:rsid w:val="006203A0"/>
    <w:rsid w:val="006214CC"/>
    <w:rsid w:val="00623AB7"/>
    <w:rsid w:val="00631112"/>
    <w:rsid w:val="00632B4E"/>
    <w:rsid w:val="006428AB"/>
    <w:rsid w:val="0064506A"/>
    <w:rsid w:val="006559F9"/>
    <w:rsid w:val="00656B25"/>
    <w:rsid w:val="0066035F"/>
    <w:rsid w:val="006623CE"/>
    <w:rsid w:val="00673441"/>
    <w:rsid w:val="006842B7"/>
    <w:rsid w:val="00692716"/>
    <w:rsid w:val="00697048"/>
    <w:rsid w:val="006D3C54"/>
    <w:rsid w:val="006E50F8"/>
    <w:rsid w:val="006F215C"/>
    <w:rsid w:val="006F2227"/>
    <w:rsid w:val="007022A8"/>
    <w:rsid w:val="00703FC3"/>
    <w:rsid w:val="00724CC4"/>
    <w:rsid w:val="00727D63"/>
    <w:rsid w:val="007325C7"/>
    <w:rsid w:val="007431AE"/>
    <w:rsid w:val="007634FE"/>
    <w:rsid w:val="0076375D"/>
    <w:rsid w:val="00766A35"/>
    <w:rsid w:val="007731CC"/>
    <w:rsid w:val="0077622E"/>
    <w:rsid w:val="0077680D"/>
    <w:rsid w:val="007818E6"/>
    <w:rsid w:val="00782CDD"/>
    <w:rsid w:val="007B7B13"/>
    <w:rsid w:val="007C3800"/>
    <w:rsid w:val="007C642A"/>
    <w:rsid w:val="007E133B"/>
    <w:rsid w:val="007E22D7"/>
    <w:rsid w:val="007E38D1"/>
    <w:rsid w:val="007F29E3"/>
    <w:rsid w:val="007F4972"/>
    <w:rsid w:val="007F53E1"/>
    <w:rsid w:val="007F7456"/>
    <w:rsid w:val="007F76D5"/>
    <w:rsid w:val="00804995"/>
    <w:rsid w:val="0083254D"/>
    <w:rsid w:val="00840172"/>
    <w:rsid w:val="00846756"/>
    <w:rsid w:val="00856E6D"/>
    <w:rsid w:val="008808DB"/>
    <w:rsid w:val="00880C28"/>
    <w:rsid w:val="00892E79"/>
    <w:rsid w:val="008A3916"/>
    <w:rsid w:val="008B1341"/>
    <w:rsid w:val="008C2D2D"/>
    <w:rsid w:val="008D074C"/>
    <w:rsid w:val="008D07ED"/>
    <w:rsid w:val="008D708B"/>
    <w:rsid w:val="008F0BE4"/>
    <w:rsid w:val="009031BB"/>
    <w:rsid w:val="00903D4D"/>
    <w:rsid w:val="009104E9"/>
    <w:rsid w:val="00914E45"/>
    <w:rsid w:val="00921D72"/>
    <w:rsid w:val="009258E4"/>
    <w:rsid w:val="009275A6"/>
    <w:rsid w:val="00935690"/>
    <w:rsid w:val="00945812"/>
    <w:rsid w:val="009578C7"/>
    <w:rsid w:val="00960ACD"/>
    <w:rsid w:val="00974524"/>
    <w:rsid w:val="009812DC"/>
    <w:rsid w:val="00982087"/>
    <w:rsid w:val="00990D6A"/>
    <w:rsid w:val="009920C8"/>
    <w:rsid w:val="00997C2C"/>
    <w:rsid w:val="009A22A0"/>
    <w:rsid w:val="009A4E81"/>
    <w:rsid w:val="009B2C9F"/>
    <w:rsid w:val="009B3ACA"/>
    <w:rsid w:val="009C2B1C"/>
    <w:rsid w:val="009D02DF"/>
    <w:rsid w:val="009D39E7"/>
    <w:rsid w:val="009E0B75"/>
    <w:rsid w:val="009E67DF"/>
    <w:rsid w:val="009F0735"/>
    <w:rsid w:val="00A00BA9"/>
    <w:rsid w:val="00A1004B"/>
    <w:rsid w:val="00A13F7A"/>
    <w:rsid w:val="00A3170E"/>
    <w:rsid w:val="00A32BB7"/>
    <w:rsid w:val="00A36BAB"/>
    <w:rsid w:val="00A500F8"/>
    <w:rsid w:val="00A521AA"/>
    <w:rsid w:val="00A67705"/>
    <w:rsid w:val="00A70A11"/>
    <w:rsid w:val="00A73CB3"/>
    <w:rsid w:val="00A946F6"/>
    <w:rsid w:val="00AA7C58"/>
    <w:rsid w:val="00AB2B26"/>
    <w:rsid w:val="00AB561B"/>
    <w:rsid w:val="00AB64FB"/>
    <w:rsid w:val="00AC00CE"/>
    <w:rsid w:val="00AD3BB8"/>
    <w:rsid w:val="00AF0D9E"/>
    <w:rsid w:val="00AF686B"/>
    <w:rsid w:val="00B12051"/>
    <w:rsid w:val="00B21A95"/>
    <w:rsid w:val="00B25AD6"/>
    <w:rsid w:val="00B6306A"/>
    <w:rsid w:val="00B82EFA"/>
    <w:rsid w:val="00B83792"/>
    <w:rsid w:val="00B90994"/>
    <w:rsid w:val="00B96E00"/>
    <w:rsid w:val="00BA353A"/>
    <w:rsid w:val="00BA7F39"/>
    <w:rsid w:val="00BB06EC"/>
    <w:rsid w:val="00BB153E"/>
    <w:rsid w:val="00BB1AB2"/>
    <w:rsid w:val="00BC14EC"/>
    <w:rsid w:val="00BC2290"/>
    <w:rsid w:val="00BD46F1"/>
    <w:rsid w:val="00BD5B45"/>
    <w:rsid w:val="00BE10A7"/>
    <w:rsid w:val="00BE60AB"/>
    <w:rsid w:val="00BE63C5"/>
    <w:rsid w:val="00C03C5F"/>
    <w:rsid w:val="00C0513B"/>
    <w:rsid w:val="00C17435"/>
    <w:rsid w:val="00C20EF4"/>
    <w:rsid w:val="00C27B23"/>
    <w:rsid w:val="00C37134"/>
    <w:rsid w:val="00C437A3"/>
    <w:rsid w:val="00C450AA"/>
    <w:rsid w:val="00C64BFA"/>
    <w:rsid w:val="00C67E3A"/>
    <w:rsid w:val="00C76100"/>
    <w:rsid w:val="00C90E20"/>
    <w:rsid w:val="00C931E9"/>
    <w:rsid w:val="00C97C97"/>
    <w:rsid w:val="00CA38AF"/>
    <w:rsid w:val="00CA4CE6"/>
    <w:rsid w:val="00CA54F4"/>
    <w:rsid w:val="00CC094F"/>
    <w:rsid w:val="00CC28AC"/>
    <w:rsid w:val="00CC69C5"/>
    <w:rsid w:val="00CC6F22"/>
    <w:rsid w:val="00CD1CFD"/>
    <w:rsid w:val="00CE1043"/>
    <w:rsid w:val="00CF0F30"/>
    <w:rsid w:val="00CF0FB0"/>
    <w:rsid w:val="00CF592D"/>
    <w:rsid w:val="00D05B41"/>
    <w:rsid w:val="00D22349"/>
    <w:rsid w:val="00D27C3A"/>
    <w:rsid w:val="00D425D2"/>
    <w:rsid w:val="00D44523"/>
    <w:rsid w:val="00D44FF8"/>
    <w:rsid w:val="00D506DB"/>
    <w:rsid w:val="00D54357"/>
    <w:rsid w:val="00D77166"/>
    <w:rsid w:val="00D83FA8"/>
    <w:rsid w:val="00D85829"/>
    <w:rsid w:val="00DA59A6"/>
    <w:rsid w:val="00DB0C93"/>
    <w:rsid w:val="00DB1167"/>
    <w:rsid w:val="00DC269D"/>
    <w:rsid w:val="00DD0024"/>
    <w:rsid w:val="00DD43C3"/>
    <w:rsid w:val="00DD454C"/>
    <w:rsid w:val="00DD5C59"/>
    <w:rsid w:val="00DE2032"/>
    <w:rsid w:val="00DE418B"/>
    <w:rsid w:val="00DF140B"/>
    <w:rsid w:val="00DF4A77"/>
    <w:rsid w:val="00E1463B"/>
    <w:rsid w:val="00E15EEF"/>
    <w:rsid w:val="00E17DE1"/>
    <w:rsid w:val="00E31F4B"/>
    <w:rsid w:val="00E3584D"/>
    <w:rsid w:val="00E37F55"/>
    <w:rsid w:val="00E437E1"/>
    <w:rsid w:val="00E7558B"/>
    <w:rsid w:val="00E773B0"/>
    <w:rsid w:val="00E843FC"/>
    <w:rsid w:val="00EA6E0D"/>
    <w:rsid w:val="00EC29E1"/>
    <w:rsid w:val="00EC3814"/>
    <w:rsid w:val="00ED1C67"/>
    <w:rsid w:val="00EE39A3"/>
    <w:rsid w:val="00EF0955"/>
    <w:rsid w:val="00EF336D"/>
    <w:rsid w:val="00F0107A"/>
    <w:rsid w:val="00F0431C"/>
    <w:rsid w:val="00F05572"/>
    <w:rsid w:val="00F1554D"/>
    <w:rsid w:val="00F26097"/>
    <w:rsid w:val="00F30B08"/>
    <w:rsid w:val="00F40A56"/>
    <w:rsid w:val="00F40E33"/>
    <w:rsid w:val="00F61D66"/>
    <w:rsid w:val="00F63E0D"/>
    <w:rsid w:val="00F74A00"/>
    <w:rsid w:val="00F82CA6"/>
    <w:rsid w:val="00F95ADD"/>
    <w:rsid w:val="00FA0D70"/>
    <w:rsid w:val="00FA2A21"/>
    <w:rsid w:val="00FB508B"/>
    <w:rsid w:val="00FC222E"/>
    <w:rsid w:val="00FE260C"/>
    <w:rsid w:val="00FF2543"/>
    <w:rsid w:val="00FF4CFB"/>
    <w:rsid w:val="00FF714D"/>
    <w:rsid w:val="00FF7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246A7C84"/>
  <w15:docId w15:val="{3B6BACEB-FB69-438E-82F6-A0AF8458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0D6A"/>
    <w:rPr>
      <w:sz w:val="24"/>
      <w:szCs w:val="24"/>
      <w:lang w:val="de-DE" w:eastAsia="de-DE"/>
    </w:rPr>
  </w:style>
  <w:style w:type="paragraph" w:styleId="berschrift1">
    <w:name w:val="heading 1"/>
    <w:basedOn w:val="Standard"/>
    <w:next w:val="Standard"/>
    <w:link w:val="berschrift1Zchn"/>
    <w:uiPriority w:val="99"/>
    <w:qFormat/>
    <w:rsid w:val="00990D6A"/>
    <w:pPr>
      <w:keepNext/>
      <w:tabs>
        <w:tab w:val="left" w:pos="600"/>
      </w:tabs>
      <w:ind w:left="240"/>
      <w:jc w:val="both"/>
      <w:outlineLvl w:val="0"/>
    </w:pPr>
    <w:rPr>
      <w:rFonts w:ascii="DINOT-CondBlack" w:hAnsi="DINOT-CondBlack" w:cs="Arial"/>
      <w:b/>
      <w:sz w:val="22"/>
      <w:szCs w:val="22"/>
      <w:lang w:val="fr-FR" w:eastAsia="it-IT"/>
    </w:rPr>
  </w:style>
  <w:style w:type="paragraph" w:styleId="berschrift2">
    <w:name w:val="heading 2"/>
    <w:basedOn w:val="Standard"/>
    <w:next w:val="Standard"/>
    <w:link w:val="berschrift2Zchn"/>
    <w:uiPriority w:val="99"/>
    <w:qFormat/>
    <w:rsid w:val="001D4608"/>
    <w:pPr>
      <w:keepNext/>
      <w:keepLines/>
      <w:spacing w:before="40"/>
      <w:outlineLvl w:val="1"/>
    </w:pPr>
    <w:rPr>
      <w:rFonts w:ascii="Cambria" w:hAnsi="Cambria"/>
      <w:color w:val="365F9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939"/>
    <w:rPr>
      <w:rFonts w:asciiTheme="majorHAnsi" w:eastAsiaTheme="majorEastAsia" w:hAnsiTheme="majorHAnsi" w:cstheme="majorBidi"/>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1D4608"/>
    <w:rPr>
      <w:rFonts w:ascii="Cambria" w:hAnsi="Cambria" w:cs="Times New Roman"/>
      <w:color w:val="365F91"/>
      <w:sz w:val="26"/>
      <w:szCs w:val="26"/>
      <w:lang w:val="de-DE" w:eastAsia="de-DE"/>
    </w:rPr>
  </w:style>
  <w:style w:type="paragraph" w:styleId="Kopfzeile">
    <w:name w:val="header"/>
    <w:basedOn w:val="Standard"/>
    <w:link w:val="KopfzeileZchn"/>
    <w:uiPriority w:val="99"/>
    <w:rsid w:val="00990D6A"/>
    <w:pPr>
      <w:tabs>
        <w:tab w:val="center" w:pos="4536"/>
        <w:tab w:val="right" w:pos="9072"/>
      </w:tabs>
    </w:pPr>
    <w:rPr>
      <w:lang w:val="it-IT" w:eastAsia="it-IT"/>
    </w:rPr>
  </w:style>
  <w:style w:type="character" w:customStyle="1" w:styleId="KopfzeileZchn">
    <w:name w:val="Kopfzeile Zchn"/>
    <w:basedOn w:val="Absatz-Standardschriftart"/>
    <w:link w:val="Kopfzeile"/>
    <w:uiPriority w:val="99"/>
    <w:semiHidden/>
    <w:rsid w:val="003C7939"/>
    <w:rPr>
      <w:sz w:val="24"/>
      <w:szCs w:val="24"/>
      <w:lang w:val="de-DE" w:eastAsia="de-DE"/>
    </w:rPr>
  </w:style>
  <w:style w:type="paragraph" w:styleId="Fuzeile">
    <w:name w:val="footer"/>
    <w:basedOn w:val="Standard"/>
    <w:link w:val="FuzeileZchn"/>
    <w:uiPriority w:val="99"/>
    <w:rsid w:val="00990D6A"/>
    <w:pPr>
      <w:tabs>
        <w:tab w:val="center" w:pos="4536"/>
        <w:tab w:val="right" w:pos="9072"/>
      </w:tabs>
    </w:pPr>
    <w:rPr>
      <w:lang w:val="it-IT" w:eastAsia="it-IT"/>
    </w:rPr>
  </w:style>
  <w:style w:type="character" w:customStyle="1" w:styleId="FuzeileZchn">
    <w:name w:val="Fußzeile Zchn"/>
    <w:basedOn w:val="Absatz-Standardschriftart"/>
    <w:link w:val="Fuzeile"/>
    <w:uiPriority w:val="99"/>
    <w:semiHidden/>
    <w:rsid w:val="003C7939"/>
    <w:rPr>
      <w:sz w:val="24"/>
      <w:szCs w:val="24"/>
      <w:lang w:val="de-DE" w:eastAsia="de-DE"/>
    </w:rPr>
  </w:style>
  <w:style w:type="character" w:styleId="Hyperlink">
    <w:name w:val="Hyperlink"/>
    <w:basedOn w:val="Absatz-Standardschriftart"/>
    <w:uiPriority w:val="99"/>
    <w:rsid w:val="00990D6A"/>
    <w:rPr>
      <w:rFonts w:cs="Times New Roman"/>
      <w:color w:val="0000FF"/>
      <w:u w:val="single"/>
    </w:rPr>
  </w:style>
  <w:style w:type="paragraph" w:styleId="Textkrper">
    <w:name w:val="Body Text"/>
    <w:basedOn w:val="Standard"/>
    <w:link w:val="TextkrperZchn"/>
    <w:uiPriority w:val="99"/>
    <w:rsid w:val="00990D6A"/>
    <w:pPr>
      <w:ind w:right="98"/>
      <w:jc w:val="both"/>
    </w:pPr>
    <w:rPr>
      <w:rFonts w:ascii="Arial" w:hAnsi="Arial"/>
      <w:szCs w:val="20"/>
      <w:lang w:val="it-IT" w:eastAsia="it-IT"/>
    </w:rPr>
  </w:style>
  <w:style w:type="character" w:customStyle="1" w:styleId="TextkrperZchn">
    <w:name w:val="Textkörper Zchn"/>
    <w:basedOn w:val="Absatz-Standardschriftart"/>
    <w:link w:val="Textkrper"/>
    <w:uiPriority w:val="99"/>
    <w:semiHidden/>
    <w:rsid w:val="003C7939"/>
    <w:rPr>
      <w:sz w:val="24"/>
      <w:szCs w:val="24"/>
      <w:lang w:val="de-DE" w:eastAsia="de-DE"/>
    </w:rPr>
  </w:style>
  <w:style w:type="paragraph" w:styleId="Sprechblasentext">
    <w:name w:val="Balloon Text"/>
    <w:basedOn w:val="Standard"/>
    <w:link w:val="SprechblasentextZchn"/>
    <w:uiPriority w:val="99"/>
    <w:rsid w:val="00250A54"/>
    <w:rPr>
      <w:rFonts w:ascii="Tahoma" w:hAnsi="Tahoma"/>
      <w:sz w:val="16"/>
      <w:szCs w:val="16"/>
    </w:rPr>
  </w:style>
  <w:style w:type="character" w:customStyle="1" w:styleId="SprechblasentextZchn">
    <w:name w:val="Sprechblasentext Zchn"/>
    <w:basedOn w:val="Absatz-Standardschriftart"/>
    <w:link w:val="Sprechblasentext"/>
    <w:uiPriority w:val="99"/>
    <w:locked/>
    <w:rsid w:val="00250A54"/>
    <w:rPr>
      <w:rFonts w:ascii="Tahoma" w:hAnsi="Tahoma"/>
      <w:sz w:val="16"/>
      <w:lang w:val="de-DE" w:eastAsia="de-DE"/>
    </w:rPr>
  </w:style>
  <w:style w:type="paragraph" w:styleId="Listenabsatz">
    <w:name w:val="List Paragraph"/>
    <w:basedOn w:val="Standard"/>
    <w:uiPriority w:val="99"/>
    <w:qFormat/>
    <w:rsid w:val="00F40A56"/>
    <w:pPr>
      <w:ind w:left="720"/>
    </w:pPr>
    <w:rPr>
      <w:rFonts w:ascii="Calibri" w:hAnsi="Calibri" w:cs="Calibri"/>
      <w:sz w:val="22"/>
      <w:szCs w:val="22"/>
      <w:lang w:val="it-IT" w:eastAsia="it-IT"/>
    </w:rPr>
  </w:style>
  <w:style w:type="paragraph" w:styleId="StandardWeb">
    <w:name w:val="Normal (Web)"/>
    <w:basedOn w:val="Standard"/>
    <w:uiPriority w:val="99"/>
    <w:rsid w:val="00E773B0"/>
    <w:pPr>
      <w:spacing w:before="100" w:beforeAutospacing="1" w:after="100" w:afterAutospacing="1"/>
    </w:pPr>
  </w:style>
  <w:style w:type="character" w:styleId="Fett">
    <w:name w:val="Strong"/>
    <w:basedOn w:val="Absatz-Standardschriftart"/>
    <w:uiPriority w:val="99"/>
    <w:qFormat/>
    <w:rsid w:val="00E773B0"/>
    <w:rPr>
      <w:rFonts w:cs="Times New Roman"/>
      <w:b/>
    </w:rPr>
  </w:style>
  <w:style w:type="character" w:styleId="Hervorhebung">
    <w:name w:val="Emphasis"/>
    <w:basedOn w:val="Absatz-Standardschriftart"/>
    <w:uiPriority w:val="99"/>
    <w:qFormat/>
    <w:rsid w:val="00CD1CFD"/>
    <w:rPr>
      <w:rFonts w:cs="Times New Roman"/>
      <w:i/>
    </w:rPr>
  </w:style>
  <w:style w:type="paragraph" w:customStyle="1" w:styleId="KeinLeerraum1">
    <w:name w:val="Kein Leerraum1"/>
    <w:uiPriority w:val="99"/>
    <w:rsid w:val="005560C7"/>
    <w:rPr>
      <w:rFonts w:ascii="Calibri" w:hAnsi="Calibri"/>
      <w:lang w:val="en-US" w:eastAsia="en-US"/>
    </w:rPr>
  </w:style>
  <w:style w:type="table" w:styleId="Tabellenraster">
    <w:name w:val="Table Grid"/>
    <w:basedOn w:val="NormaleTabelle"/>
    <w:uiPriority w:val="99"/>
    <w:rsid w:val="00B83792"/>
    <w:rPr>
      <w:rFonts w:ascii="Calibri"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1">
    <w:name w:val="Absatz-Standardschriftart1"/>
    <w:uiPriority w:val="99"/>
    <w:rsid w:val="0054269C"/>
  </w:style>
  <w:style w:type="table" w:customStyle="1" w:styleId="Grigliatabella1">
    <w:name w:val="Griglia tabella1"/>
    <w:uiPriority w:val="99"/>
    <w:rsid w:val="00062EF2"/>
    <w:rPr>
      <w:rFonts w:ascii="Calibri" w:hAnsi="Calibri"/>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etto">
    <w:name w:val="neretto"/>
    <w:basedOn w:val="Absatz-Standardschriftart"/>
    <w:uiPriority w:val="99"/>
    <w:rsid w:val="001D4608"/>
    <w:rPr>
      <w:rFonts w:cs="Times New Roman"/>
    </w:rPr>
  </w:style>
  <w:style w:type="paragraph" w:styleId="Kommentartext">
    <w:name w:val="annotation text"/>
    <w:basedOn w:val="Standard"/>
    <w:link w:val="KommentartextZchn"/>
    <w:uiPriority w:val="99"/>
    <w:rsid w:val="00FA2A21"/>
    <w:rPr>
      <w:sz w:val="20"/>
      <w:szCs w:val="20"/>
    </w:rPr>
  </w:style>
  <w:style w:type="character" w:customStyle="1" w:styleId="KommentartextZchn">
    <w:name w:val="Kommentartext Zchn"/>
    <w:basedOn w:val="Absatz-Standardschriftart"/>
    <w:link w:val="Kommentartext"/>
    <w:uiPriority w:val="99"/>
    <w:locked/>
    <w:rsid w:val="00FA2A21"/>
    <w:rPr>
      <w:rFonts w:cs="Times New Roman"/>
      <w:lang w:val="de-DE" w:eastAsia="de-DE"/>
    </w:rPr>
  </w:style>
  <w:style w:type="character" w:styleId="Kommentarzeichen">
    <w:name w:val="annotation reference"/>
    <w:basedOn w:val="Absatz-Standardschriftart"/>
    <w:uiPriority w:val="99"/>
    <w:semiHidden/>
    <w:rsid w:val="00FA2A21"/>
    <w:rPr>
      <w:rFonts w:cs="Times New Roman"/>
      <w:sz w:val="16"/>
      <w:szCs w:val="16"/>
    </w:rPr>
  </w:style>
  <w:style w:type="table" w:styleId="HelleSchattierung-Akzent2">
    <w:name w:val="Light Shading Accent 2"/>
    <w:basedOn w:val="NormaleTabelle"/>
    <w:uiPriority w:val="99"/>
    <w:rsid w:val="00CC28AC"/>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83878">
      <w:marLeft w:val="0"/>
      <w:marRight w:val="0"/>
      <w:marTop w:val="0"/>
      <w:marBottom w:val="0"/>
      <w:divBdr>
        <w:top w:val="none" w:sz="0" w:space="0" w:color="auto"/>
        <w:left w:val="none" w:sz="0" w:space="0" w:color="auto"/>
        <w:bottom w:val="none" w:sz="0" w:space="0" w:color="auto"/>
        <w:right w:val="none" w:sz="0" w:space="0" w:color="auto"/>
      </w:divBdr>
    </w:div>
    <w:div w:id="1295983879">
      <w:marLeft w:val="0"/>
      <w:marRight w:val="0"/>
      <w:marTop w:val="0"/>
      <w:marBottom w:val="0"/>
      <w:divBdr>
        <w:top w:val="none" w:sz="0" w:space="0" w:color="auto"/>
        <w:left w:val="none" w:sz="0" w:space="0" w:color="auto"/>
        <w:bottom w:val="none" w:sz="0" w:space="0" w:color="auto"/>
        <w:right w:val="none" w:sz="0" w:space="0" w:color="auto"/>
      </w:divBdr>
    </w:div>
    <w:div w:id="1295983880">
      <w:marLeft w:val="0"/>
      <w:marRight w:val="0"/>
      <w:marTop w:val="0"/>
      <w:marBottom w:val="0"/>
      <w:divBdr>
        <w:top w:val="none" w:sz="0" w:space="0" w:color="auto"/>
        <w:left w:val="none" w:sz="0" w:space="0" w:color="auto"/>
        <w:bottom w:val="none" w:sz="0" w:space="0" w:color="auto"/>
        <w:right w:val="none" w:sz="0" w:space="0" w:color="auto"/>
      </w:divBdr>
    </w:div>
    <w:div w:id="1295983881">
      <w:marLeft w:val="0"/>
      <w:marRight w:val="0"/>
      <w:marTop w:val="0"/>
      <w:marBottom w:val="0"/>
      <w:divBdr>
        <w:top w:val="none" w:sz="0" w:space="0" w:color="auto"/>
        <w:left w:val="none" w:sz="0" w:space="0" w:color="auto"/>
        <w:bottom w:val="none" w:sz="0" w:space="0" w:color="auto"/>
        <w:right w:val="none" w:sz="0" w:space="0" w:color="auto"/>
      </w:divBdr>
    </w:div>
    <w:div w:id="1295983882">
      <w:marLeft w:val="0"/>
      <w:marRight w:val="0"/>
      <w:marTop w:val="0"/>
      <w:marBottom w:val="0"/>
      <w:divBdr>
        <w:top w:val="none" w:sz="0" w:space="0" w:color="auto"/>
        <w:left w:val="none" w:sz="0" w:space="0" w:color="auto"/>
        <w:bottom w:val="none" w:sz="0" w:space="0" w:color="auto"/>
        <w:right w:val="none" w:sz="0" w:space="0" w:color="auto"/>
      </w:divBdr>
    </w:div>
    <w:div w:id="1295983884">
      <w:marLeft w:val="0"/>
      <w:marRight w:val="0"/>
      <w:marTop w:val="0"/>
      <w:marBottom w:val="0"/>
      <w:divBdr>
        <w:top w:val="none" w:sz="0" w:space="0" w:color="auto"/>
        <w:left w:val="none" w:sz="0" w:space="0" w:color="auto"/>
        <w:bottom w:val="none" w:sz="0" w:space="0" w:color="auto"/>
        <w:right w:val="none" w:sz="0" w:space="0" w:color="auto"/>
      </w:divBdr>
    </w:div>
    <w:div w:id="1295983886">
      <w:marLeft w:val="0"/>
      <w:marRight w:val="0"/>
      <w:marTop w:val="0"/>
      <w:marBottom w:val="0"/>
      <w:divBdr>
        <w:top w:val="none" w:sz="0" w:space="0" w:color="auto"/>
        <w:left w:val="none" w:sz="0" w:space="0" w:color="auto"/>
        <w:bottom w:val="none" w:sz="0" w:space="0" w:color="auto"/>
        <w:right w:val="none" w:sz="0" w:space="0" w:color="auto"/>
      </w:divBdr>
    </w:div>
    <w:div w:id="1295983887">
      <w:marLeft w:val="0"/>
      <w:marRight w:val="0"/>
      <w:marTop w:val="0"/>
      <w:marBottom w:val="0"/>
      <w:divBdr>
        <w:top w:val="none" w:sz="0" w:space="0" w:color="auto"/>
        <w:left w:val="none" w:sz="0" w:space="0" w:color="auto"/>
        <w:bottom w:val="none" w:sz="0" w:space="0" w:color="auto"/>
        <w:right w:val="none" w:sz="0" w:space="0" w:color="auto"/>
      </w:divBdr>
    </w:div>
    <w:div w:id="1295983888">
      <w:marLeft w:val="0"/>
      <w:marRight w:val="0"/>
      <w:marTop w:val="0"/>
      <w:marBottom w:val="0"/>
      <w:divBdr>
        <w:top w:val="none" w:sz="0" w:space="0" w:color="auto"/>
        <w:left w:val="none" w:sz="0" w:space="0" w:color="auto"/>
        <w:bottom w:val="none" w:sz="0" w:space="0" w:color="auto"/>
        <w:right w:val="none" w:sz="0" w:space="0" w:color="auto"/>
      </w:divBdr>
    </w:div>
    <w:div w:id="1295983889">
      <w:marLeft w:val="0"/>
      <w:marRight w:val="0"/>
      <w:marTop w:val="0"/>
      <w:marBottom w:val="0"/>
      <w:divBdr>
        <w:top w:val="none" w:sz="0" w:space="0" w:color="auto"/>
        <w:left w:val="none" w:sz="0" w:space="0" w:color="auto"/>
        <w:bottom w:val="none" w:sz="0" w:space="0" w:color="auto"/>
        <w:right w:val="none" w:sz="0" w:space="0" w:color="auto"/>
      </w:divBdr>
    </w:div>
    <w:div w:id="1295983894">
      <w:marLeft w:val="0"/>
      <w:marRight w:val="0"/>
      <w:marTop w:val="0"/>
      <w:marBottom w:val="0"/>
      <w:divBdr>
        <w:top w:val="none" w:sz="0" w:space="0" w:color="auto"/>
        <w:left w:val="none" w:sz="0" w:space="0" w:color="auto"/>
        <w:bottom w:val="none" w:sz="0" w:space="0" w:color="auto"/>
        <w:right w:val="none" w:sz="0" w:space="0" w:color="auto"/>
      </w:divBdr>
    </w:div>
    <w:div w:id="1295983895">
      <w:marLeft w:val="0"/>
      <w:marRight w:val="0"/>
      <w:marTop w:val="0"/>
      <w:marBottom w:val="0"/>
      <w:divBdr>
        <w:top w:val="none" w:sz="0" w:space="0" w:color="auto"/>
        <w:left w:val="none" w:sz="0" w:space="0" w:color="auto"/>
        <w:bottom w:val="none" w:sz="0" w:space="0" w:color="auto"/>
        <w:right w:val="none" w:sz="0" w:space="0" w:color="auto"/>
      </w:divBdr>
    </w:div>
    <w:div w:id="1295983897">
      <w:marLeft w:val="0"/>
      <w:marRight w:val="0"/>
      <w:marTop w:val="0"/>
      <w:marBottom w:val="0"/>
      <w:divBdr>
        <w:top w:val="none" w:sz="0" w:space="0" w:color="auto"/>
        <w:left w:val="none" w:sz="0" w:space="0" w:color="auto"/>
        <w:bottom w:val="none" w:sz="0" w:space="0" w:color="auto"/>
        <w:right w:val="none" w:sz="0" w:space="0" w:color="auto"/>
      </w:divBdr>
    </w:div>
    <w:div w:id="1295983898">
      <w:marLeft w:val="0"/>
      <w:marRight w:val="0"/>
      <w:marTop w:val="0"/>
      <w:marBottom w:val="0"/>
      <w:divBdr>
        <w:top w:val="none" w:sz="0" w:space="0" w:color="auto"/>
        <w:left w:val="none" w:sz="0" w:space="0" w:color="auto"/>
        <w:bottom w:val="none" w:sz="0" w:space="0" w:color="auto"/>
        <w:right w:val="none" w:sz="0" w:space="0" w:color="auto"/>
      </w:divBdr>
    </w:div>
    <w:div w:id="1295983900">
      <w:marLeft w:val="0"/>
      <w:marRight w:val="0"/>
      <w:marTop w:val="0"/>
      <w:marBottom w:val="0"/>
      <w:divBdr>
        <w:top w:val="none" w:sz="0" w:space="0" w:color="auto"/>
        <w:left w:val="none" w:sz="0" w:space="0" w:color="auto"/>
        <w:bottom w:val="none" w:sz="0" w:space="0" w:color="auto"/>
        <w:right w:val="none" w:sz="0" w:space="0" w:color="auto"/>
      </w:divBdr>
    </w:div>
    <w:div w:id="1295983903">
      <w:marLeft w:val="0"/>
      <w:marRight w:val="0"/>
      <w:marTop w:val="0"/>
      <w:marBottom w:val="0"/>
      <w:divBdr>
        <w:top w:val="none" w:sz="0" w:space="0" w:color="auto"/>
        <w:left w:val="none" w:sz="0" w:space="0" w:color="auto"/>
        <w:bottom w:val="none" w:sz="0" w:space="0" w:color="auto"/>
        <w:right w:val="none" w:sz="0" w:space="0" w:color="auto"/>
      </w:divBdr>
    </w:div>
    <w:div w:id="1295983904">
      <w:marLeft w:val="0"/>
      <w:marRight w:val="0"/>
      <w:marTop w:val="0"/>
      <w:marBottom w:val="0"/>
      <w:divBdr>
        <w:top w:val="none" w:sz="0" w:space="0" w:color="auto"/>
        <w:left w:val="none" w:sz="0" w:space="0" w:color="auto"/>
        <w:bottom w:val="none" w:sz="0" w:space="0" w:color="auto"/>
        <w:right w:val="none" w:sz="0" w:space="0" w:color="auto"/>
      </w:divBdr>
    </w:div>
    <w:div w:id="1295983905">
      <w:marLeft w:val="0"/>
      <w:marRight w:val="0"/>
      <w:marTop w:val="0"/>
      <w:marBottom w:val="0"/>
      <w:divBdr>
        <w:top w:val="none" w:sz="0" w:space="0" w:color="auto"/>
        <w:left w:val="none" w:sz="0" w:space="0" w:color="auto"/>
        <w:bottom w:val="none" w:sz="0" w:space="0" w:color="auto"/>
        <w:right w:val="none" w:sz="0" w:space="0" w:color="auto"/>
      </w:divBdr>
    </w:div>
    <w:div w:id="1295983906">
      <w:marLeft w:val="0"/>
      <w:marRight w:val="0"/>
      <w:marTop w:val="0"/>
      <w:marBottom w:val="0"/>
      <w:divBdr>
        <w:top w:val="none" w:sz="0" w:space="0" w:color="auto"/>
        <w:left w:val="none" w:sz="0" w:space="0" w:color="auto"/>
        <w:bottom w:val="none" w:sz="0" w:space="0" w:color="auto"/>
        <w:right w:val="none" w:sz="0" w:space="0" w:color="auto"/>
      </w:divBdr>
      <w:divsChild>
        <w:div w:id="1295983896">
          <w:marLeft w:val="0"/>
          <w:marRight w:val="0"/>
          <w:marTop w:val="0"/>
          <w:marBottom w:val="0"/>
          <w:divBdr>
            <w:top w:val="none" w:sz="0" w:space="0" w:color="auto"/>
            <w:left w:val="none" w:sz="0" w:space="0" w:color="auto"/>
            <w:bottom w:val="none" w:sz="0" w:space="0" w:color="auto"/>
            <w:right w:val="none" w:sz="0" w:space="0" w:color="auto"/>
          </w:divBdr>
          <w:divsChild>
            <w:div w:id="1295983883">
              <w:marLeft w:val="0"/>
              <w:marRight w:val="0"/>
              <w:marTop w:val="0"/>
              <w:marBottom w:val="0"/>
              <w:divBdr>
                <w:top w:val="none" w:sz="0" w:space="0" w:color="auto"/>
                <w:left w:val="none" w:sz="0" w:space="0" w:color="auto"/>
                <w:bottom w:val="none" w:sz="0" w:space="0" w:color="auto"/>
                <w:right w:val="none" w:sz="0" w:space="0" w:color="auto"/>
              </w:divBdr>
              <w:divsChild>
                <w:div w:id="1295983885">
                  <w:marLeft w:val="0"/>
                  <w:marRight w:val="0"/>
                  <w:marTop w:val="0"/>
                  <w:marBottom w:val="0"/>
                  <w:divBdr>
                    <w:top w:val="none" w:sz="0" w:space="0" w:color="auto"/>
                    <w:left w:val="none" w:sz="0" w:space="0" w:color="auto"/>
                    <w:bottom w:val="none" w:sz="0" w:space="0" w:color="auto"/>
                    <w:right w:val="none" w:sz="0" w:space="0" w:color="auto"/>
                  </w:divBdr>
                  <w:divsChild>
                    <w:div w:id="1295983899">
                      <w:marLeft w:val="0"/>
                      <w:marRight w:val="0"/>
                      <w:marTop w:val="0"/>
                      <w:marBottom w:val="0"/>
                      <w:divBdr>
                        <w:top w:val="none" w:sz="0" w:space="0" w:color="auto"/>
                        <w:left w:val="none" w:sz="0" w:space="0" w:color="auto"/>
                        <w:bottom w:val="none" w:sz="0" w:space="0" w:color="auto"/>
                        <w:right w:val="none" w:sz="0" w:space="0" w:color="auto"/>
                      </w:divBdr>
                      <w:divsChild>
                        <w:div w:id="1295983890">
                          <w:marLeft w:val="0"/>
                          <w:marRight w:val="0"/>
                          <w:marTop w:val="0"/>
                          <w:marBottom w:val="0"/>
                          <w:divBdr>
                            <w:top w:val="none" w:sz="0" w:space="0" w:color="auto"/>
                            <w:left w:val="none" w:sz="0" w:space="0" w:color="auto"/>
                            <w:bottom w:val="none" w:sz="0" w:space="0" w:color="auto"/>
                            <w:right w:val="none" w:sz="0" w:space="0" w:color="auto"/>
                          </w:divBdr>
                          <w:divsChild>
                            <w:div w:id="1295983892">
                              <w:marLeft w:val="0"/>
                              <w:marRight w:val="0"/>
                              <w:marTop w:val="0"/>
                              <w:marBottom w:val="0"/>
                              <w:divBdr>
                                <w:top w:val="none" w:sz="0" w:space="0" w:color="auto"/>
                                <w:left w:val="none" w:sz="0" w:space="0" w:color="auto"/>
                                <w:bottom w:val="none" w:sz="0" w:space="0" w:color="auto"/>
                                <w:right w:val="none" w:sz="0" w:space="0" w:color="auto"/>
                              </w:divBdr>
                              <w:divsChild>
                                <w:div w:id="12959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3901">
                          <w:marLeft w:val="0"/>
                          <w:marRight w:val="0"/>
                          <w:marTop w:val="0"/>
                          <w:marBottom w:val="0"/>
                          <w:divBdr>
                            <w:top w:val="none" w:sz="0" w:space="0" w:color="auto"/>
                            <w:left w:val="none" w:sz="0" w:space="0" w:color="auto"/>
                            <w:bottom w:val="none" w:sz="0" w:space="0" w:color="auto"/>
                            <w:right w:val="none" w:sz="0" w:space="0" w:color="auto"/>
                          </w:divBdr>
                          <w:divsChild>
                            <w:div w:id="1295983893">
                              <w:marLeft w:val="0"/>
                              <w:marRight w:val="0"/>
                              <w:marTop w:val="0"/>
                              <w:marBottom w:val="0"/>
                              <w:divBdr>
                                <w:top w:val="none" w:sz="0" w:space="0" w:color="auto"/>
                                <w:left w:val="none" w:sz="0" w:space="0" w:color="auto"/>
                                <w:bottom w:val="none" w:sz="0" w:space="0" w:color="auto"/>
                                <w:right w:val="none" w:sz="0" w:space="0" w:color="auto"/>
                              </w:divBdr>
                              <w:divsChild>
                                <w:div w:id="12959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83907">
      <w:marLeft w:val="0"/>
      <w:marRight w:val="0"/>
      <w:marTop w:val="0"/>
      <w:marBottom w:val="0"/>
      <w:divBdr>
        <w:top w:val="none" w:sz="0" w:space="0" w:color="auto"/>
        <w:left w:val="none" w:sz="0" w:space="0" w:color="auto"/>
        <w:bottom w:val="none" w:sz="0" w:space="0" w:color="auto"/>
        <w:right w:val="none" w:sz="0" w:space="0" w:color="auto"/>
      </w:divBdr>
    </w:div>
    <w:div w:id="1295983908">
      <w:marLeft w:val="0"/>
      <w:marRight w:val="0"/>
      <w:marTop w:val="0"/>
      <w:marBottom w:val="0"/>
      <w:divBdr>
        <w:top w:val="none" w:sz="0" w:space="0" w:color="auto"/>
        <w:left w:val="none" w:sz="0" w:space="0" w:color="auto"/>
        <w:bottom w:val="none" w:sz="0" w:space="0" w:color="auto"/>
        <w:right w:val="none" w:sz="0" w:space="0" w:color="auto"/>
      </w:divBdr>
    </w:div>
    <w:div w:id="1295983909">
      <w:marLeft w:val="0"/>
      <w:marRight w:val="0"/>
      <w:marTop w:val="0"/>
      <w:marBottom w:val="0"/>
      <w:divBdr>
        <w:top w:val="none" w:sz="0" w:space="0" w:color="auto"/>
        <w:left w:val="none" w:sz="0" w:space="0" w:color="auto"/>
        <w:bottom w:val="none" w:sz="0" w:space="0" w:color="auto"/>
        <w:right w:val="none" w:sz="0" w:space="0" w:color="auto"/>
      </w:divBdr>
    </w:div>
    <w:div w:id="1295983910">
      <w:marLeft w:val="0"/>
      <w:marRight w:val="0"/>
      <w:marTop w:val="0"/>
      <w:marBottom w:val="0"/>
      <w:divBdr>
        <w:top w:val="none" w:sz="0" w:space="0" w:color="auto"/>
        <w:left w:val="none" w:sz="0" w:space="0" w:color="auto"/>
        <w:bottom w:val="none" w:sz="0" w:space="0" w:color="auto"/>
        <w:right w:val="none" w:sz="0" w:space="0" w:color="auto"/>
      </w:divBdr>
    </w:div>
    <w:div w:id="1295983911">
      <w:marLeft w:val="0"/>
      <w:marRight w:val="0"/>
      <w:marTop w:val="0"/>
      <w:marBottom w:val="0"/>
      <w:divBdr>
        <w:top w:val="none" w:sz="0" w:space="0" w:color="auto"/>
        <w:left w:val="none" w:sz="0" w:space="0" w:color="auto"/>
        <w:bottom w:val="none" w:sz="0" w:space="0" w:color="auto"/>
        <w:right w:val="none" w:sz="0" w:space="0" w:color="auto"/>
      </w:divBdr>
    </w:div>
    <w:div w:id="1295983912">
      <w:marLeft w:val="0"/>
      <w:marRight w:val="0"/>
      <w:marTop w:val="0"/>
      <w:marBottom w:val="0"/>
      <w:divBdr>
        <w:top w:val="none" w:sz="0" w:space="0" w:color="auto"/>
        <w:left w:val="none" w:sz="0" w:space="0" w:color="auto"/>
        <w:bottom w:val="none" w:sz="0" w:space="0" w:color="auto"/>
        <w:right w:val="none" w:sz="0" w:space="0" w:color="auto"/>
      </w:divBdr>
    </w:div>
    <w:div w:id="1295983913">
      <w:marLeft w:val="0"/>
      <w:marRight w:val="0"/>
      <w:marTop w:val="0"/>
      <w:marBottom w:val="0"/>
      <w:divBdr>
        <w:top w:val="none" w:sz="0" w:space="0" w:color="auto"/>
        <w:left w:val="none" w:sz="0" w:space="0" w:color="auto"/>
        <w:bottom w:val="none" w:sz="0" w:space="0" w:color="auto"/>
        <w:right w:val="none" w:sz="0" w:space="0" w:color="auto"/>
      </w:divBdr>
    </w:div>
    <w:div w:id="1295983914">
      <w:marLeft w:val="0"/>
      <w:marRight w:val="0"/>
      <w:marTop w:val="0"/>
      <w:marBottom w:val="0"/>
      <w:divBdr>
        <w:top w:val="none" w:sz="0" w:space="0" w:color="auto"/>
        <w:left w:val="none" w:sz="0" w:space="0" w:color="auto"/>
        <w:bottom w:val="none" w:sz="0" w:space="0" w:color="auto"/>
        <w:right w:val="none" w:sz="0" w:space="0" w:color="auto"/>
      </w:divBdr>
    </w:div>
    <w:div w:id="1295983915">
      <w:marLeft w:val="0"/>
      <w:marRight w:val="0"/>
      <w:marTop w:val="0"/>
      <w:marBottom w:val="0"/>
      <w:divBdr>
        <w:top w:val="none" w:sz="0" w:space="0" w:color="auto"/>
        <w:left w:val="none" w:sz="0" w:space="0" w:color="auto"/>
        <w:bottom w:val="none" w:sz="0" w:space="0" w:color="auto"/>
        <w:right w:val="none" w:sz="0" w:space="0" w:color="auto"/>
      </w:divBdr>
    </w:div>
    <w:div w:id="1295983916">
      <w:marLeft w:val="0"/>
      <w:marRight w:val="0"/>
      <w:marTop w:val="0"/>
      <w:marBottom w:val="0"/>
      <w:divBdr>
        <w:top w:val="none" w:sz="0" w:space="0" w:color="auto"/>
        <w:left w:val="none" w:sz="0" w:space="0" w:color="auto"/>
        <w:bottom w:val="none" w:sz="0" w:space="0" w:color="auto"/>
        <w:right w:val="none" w:sz="0" w:space="0" w:color="auto"/>
      </w:divBdr>
    </w:div>
    <w:div w:id="1295983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a.com/" TargetMode="External"/><Relationship Id="rId3" Type="http://schemas.openxmlformats.org/officeDocument/2006/relationships/settings" Target="settings.xml"/><Relationship Id="rId7" Type="http://schemas.openxmlformats.org/officeDocument/2006/relationships/hyperlink" Target="mailto:office.it@pref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4672</Characters>
  <Application>Microsoft Office Word</Application>
  <DocSecurity>0</DocSecurity>
  <Lines>38</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Bolzano, giovedì 7 ottobre 2010</vt:lpstr>
      <vt:lpstr>Bolzano, giovedì 7 ottobre 2010</vt:lpstr>
    </vt:vector>
  </TitlesOfParts>
  <Company>alpewa</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Bolzano, giovedì 7 ottobre 2010</dc:title>
  <dc:subject/>
  <dc:creator>carcione</dc:creator>
  <cp:keywords/>
  <dc:description/>
  <cp:lastModifiedBy>Paternoster Laura</cp:lastModifiedBy>
  <cp:revision>4</cp:revision>
  <cp:lastPrinted>2019-07-25T07:23:00Z</cp:lastPrinted>
  <dcterms:created xsi:type="dcterms:W3CDTF">2019-09-06T08:49:00Z</dcterms:created>
  <dcterms:modified xsi:type="dcterms:W3CDTF">2019-09-19T10:30:00Z</dcterms:modified>
</cp:coreProperties>
</file>