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0A7E54" w:rsidRPr="00870F91" w:rsidP="00D710BD" w14:paraId="63ACBB25" w14:textId="64925737">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it"/>
          <w:b w:val="1"/>
          <w:bCs w:val="1"/>
          <w:i w:val="0"/>
          <w:iCs w:val="0"/>
          <w:u w:val="none"/>
          <w:vertAlign w:val="baseline"/>
          <w:rtl w:val="0"/>
        </w:rPr>
        <w:t xml:space="preserve">PREFARENZEN | Relazione progetto settembre </w:t>
      </w:r>
    </w:p>
    <w:p w:rsidR="000A7E54" w:rsidP="000A7E54" w14:paraId="7494758C" w14:textId="7777777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rsidR="000A7E54" w:rsidP="000A7E54" w14:paraId="7E6E6667" w14:textId="402BC1B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it"/>
          <w:b w:val="1"/>
          <w:bCs w:val="1"/>
          <w:i w:val="0"/>
          <w:iCs w:val="0"/>
          <w:u w:val="none"/>
          <w:vertAlign w:val="baseline"/>
          <w:rtl w:val="0"/>
        </w:rPr>
        <w:t xml:space="preserve">Una singolare palestra per arrampicata a Škofja Loka veste scandole</w:t>
      </w:r>
    </w:p>
    <w:p w:rsidR="000A7E54" w:rsidP="000A7E54" w14:paraId="6C5B8902" w14:textId="77777777">
      <w:pPr>
        <w:suppressAutoHyphens/>
        <w:spacing w:after="80"/>
        <w:jc w:val="both"/>
        <w:rPr>
          <w:rFonts w:ascii="ITC Slimbach LT CE Book" w:hAnsi="ITC Slimbach LT CE Book" w:cs="Arial"/>
        </w:rPr>
      </w:pPr>
    </w:p>
    <w:p w:rsidR="00DE6812" w:rsidP="00107D63" w14:paraId="5D6EC836" w14:textId="0C65B6B7">
      <w:pPr>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Marktl/Wasungen – Sotto la direzione dell’architetto Lucija Franko, ARHITEKTURA PETERNEL ha realizzato a Pevno, vicino a Škofja Loka, una palestra per arrampicata color antracite che su suggerimento del committente dovrebbe costituire la base di un nuovo panorama sportivo e turistico nel villaggio. Grazie all’utilizzo delle scandole DS.19 e doghe Prefa, alla nuova costruzione è stato dato un aspetto marcato e uniforme, che attira l’attenzione già da lontano.  </w:t>
      </w:r>
    </w:p>
    <w:p w:rsidR="0013187A" w:rsidP="000A7E54" w14:paraId="571F79D8" w14:textId="4990147E">
      <w:pPr>
        <w:jc w:val="both"/>
        <w:rPr>
          <w:rFonts w:ascii="ITC Slimbach LT CE Book" w:hAnsi="ITC Slimbach LT CE Book" w:cs="Arial"/>
          <w:b/>
          <w:bCs/>
        </w:rPr>
        <w:bidi w:val="0"/>
      </w:pPr>
      <w:r>
        <w:rPr>
          <w:rFonts w:ascii="ITC Slimbach LT CE Book" w:cs="Arial" w:hAnsi="ITC Slimbach LT CE Book"/>
          <w:lang w:val="it"/>
          <w:b w:val="1"/>
          <w:bCs w:val="1"/>
          <w:i w:val="0"/>
          <w:iCs w:val="0"/>
          <w:u w:val="none"/>
          <w:vertAlign w:val="baseline"/>
          <w:rtl w:val="0"/>
        </w:rPr>
        <w:t xml:space="preserve">Definito dall’interno e dall’esterno</w:t>
      </w:r>
    </w:p>
    <w:p w:rsidR="007F5EC8" w:rsidP="000A7E54" w14:paraId="004BD816" w14:textId="79AA7F7F">
      <w:pPr>
        <w:jc w:val="both"/>
        <w:rPr>
          <w:rFonts w:ascii="ITC Slimbach LT CE Book" w:hAnsi="ITC Slimbach LT CE Book" w:cs="Arial"/>
        </w:rPr>
        <w:bidi w:val="0"/>
      </w:pPr>
      <w:r>
        <w:rPr>
          <w:rFonts w:ascii="ITC Slimbach LT CE Book" w:hAnsi="ITC Slimbach LT CE Book"/>
          <w:lang w:val="it"/>
          <w:b w:val="0"/>
          <w:bCs w:val="0"/>
          <w:i w:val="0"/>
          <w:iCs w:val="0"/>
          <w:u w:val="none"/>
          <w:vertAlign w:val="baseline"/>
          <w:rtl w:val="0"/>
        </w:rPr>
        <w:t xml:space="preserve">L’edificio pressoché privo di finestre si trova lontano dalla strada e dall’esterno non rivela una destinazione d’uso chiara. Con il suo richiamo alla forma di un fienile un tempo situato sul terreno e che doveva essere demolito per realizzare il progetto, la palestra richiama la scala dell'ambiente rurale circostante. Essa segue l’andamento delle curve della strada in direzione della chiesa del villaggio e dispone di una parete tripartita con una piega di transizione al tetto. L’insolita forma dell’edificio con le pareti inclinate è definita dalle pareti da arrampicata che completano l’interno. La palestra per arrampicata è ben riconoscibile tra gli antichi kozolec, </w:t>
      </w:r>
      <w:r>
        <w:rPr>
          <w:lang w:val="it"/>
          <w:b w:val="0"/>
          <w:bCs w:val="0"/>
          <w:i w:val="0"/>
          <w:iCs w:val="0"/>
          <w:u w:val="none"/>
          <w:vertAlign w:val="baseline"/>
          <w:rtl w:val="0"/>
        </w:rPr>
        <w:t xml:space="preserve">tipici essiccatoi dell’associazione storica della regione , nei quali l’erba è fatta essiccare in fieno</w:t>
      </w:r>
      <w:r>
        <w:rPr>
          <w:rFonts w:ascii="ITC Slimbach LT CE Book" w:hAnsi="ITC Slimbach LT CE Book"/>
          <w:lang w:val="it"/>
          <w:b w:val="0"/>
          <w:bCs w:val="0"/>
          <w:i w:val="0"/>
          <w:iCs w:val="0"/>
          <w:u w:val="none"/>
          <w:vertAlign w:val="baseline"/>
          <w:rtl w:val="0"/>
        </w:rPr>
        <w:t xml:space="preserve">. Essa è quasi completamente avvolta da scandole in alluminio grigio scuro; solo le parti anteriori sono dotate di una calda facciata in legno. Il carattere ermetico della facciata è compensato dalle finestre allungate e l’antracite scuro delle scandole del tetto crea un contrasto con il legno di larice chiaro.</w:t>
      </w:r>
    </w:p>
    <w:p w:rsidR="000A7E54" w:rsidRPr="004F5006" w:rsidP="000A7E54" w14:paraId="330370B0" w14:textId="7A3B6010">
      <w:pPr>
        <w:jc w:val="both"/>
        <w:rPr>
          <w:rFonts w:ascii="ITC Slimbach LT CE Book" w:hAnsi="ITC Slimbach LT CE Book" w:cs="Arial"/>
          <w:b/>
          <w:bCs/>
        </w:rPr>
        <w:bidi w:val="0"/>
      </w:pPr>
      <w:r>
        <w:rPr>
          <w:rFonts w:ascii="ITC Slimbach LT CE Book" w:cs="Arial" w:hAnsi="ITC Slimbach LT CE Book"/>
          <w:lang w:val="it"/>
          <w:b w:val="1"/>
          <w:bCs w:val="1"/>
          <w:i w:val="0"/>
          <w:iCs w:val="0"/>
          <w:u w:val="none"/>
          <w:vertAlign w:val="baseline"/>
          <w:rtl w:val="0"/>
        </w:rPr>
        <w:t xml:space="preserve">Un manto speciale</w:t>
      </w:r>
    </w:p>
    <w:p w:rsidR="005F0524" w:rsidRPr="00B97B3D" w:rsidP="00B97B3D" w14:paraId="5875C184" w14:textId="2EFC2D51">
      <w:pPr>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Anche Tomo Zadravec di ZA&amp;TO sa che l’arrampicata richiede un’architettura speciale e spazi adeguatamente allestiti. Il carpentiere appassionato di arrampicata era responsabile con il suo team della realizzazione della facciata in scandole a Škofja Loka ed è ricorso a montatori esterni a causa delle dimensioni del progetto. Zadravec era particolarmente entusiasta dell’estesa superficie del tetto, che raggiungeva circa 700 m², visto che prima di questo progetto egli non aveva ancora mai eseguito la posa su una superficie così grande. In pochissimo tempo un team di otto persone ha posato le scandole con superficie strutturata sul tetto, la cui sottostruttura è stata protetta dalle intemperie da una copertura in lamina per tutto il tempo del montaggio.L’obiettivo era quello di creare una “superficie bella e accurata” con una transizione di tetto e facciata senza saldature. Il team di carpentieri è riuscito a realizzare tutto ciò, con una qualità tale, che l’alluminio del tetto e della facciata “assomiglia ad una pelle che protegge il corpo”, come sottolinea Tomo Zadravec.</w:t>
      </w:r>
    </w:p>
    <w:p w:rsidR="005F0524" w:rsidP="000A7E54" w14:paraId="52D76323" w14:textId="1B633A65">
      <w:pPr>
        <w:spacing w:after="0" w:line="312" w:lineRule="auto"/>
        <w:jc w:val="both"/>
        <w:rPr>
          <w:rFonts w:ascii="ITC Slimbach LT CE Book" w:hAnsi="ITC Slimbach LT CE Book" w:cs="Arial"/>
          <w:sz w:val="16"/>
          <w:szCs w:val="16"/>
        </w:rPr>
      </w:pPr>
    </w:p>
    <w:p w:rsidR="00B97B3D" w:rsidRPr="00555CC9" w:rsidP="000A7E54" w14:paraId="48C3F07C" w14:textId="77777777">
      <w:pPr>
        <w:spacing w:after="0" w:line="312" w:lineRule="auto"/>
        <w:jc w:val="both"/>
        <w:rPr>
          <w:rFonts w:ascii="ITC Slimbach LT CE Book" w:hAnsi="ITC Slimbach LT CE Book" w:cs="Arial"/>
          <w:sz w:val="16"/>
          <w:szCs w:val="16"/>
        </w:rPr>
      </w:pPr>
    </w:p>
    <w:p w:rsidR="000A7E54" w:rsidP="000A7E54" w14:paraId="7026CBEA" w14:textId="77777777">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Materiale:</w:t>
      </w:r>
    </w:p>
    <w:p w:rsidR="000A7E54" w:rsidP="000A7E54" w14:paraId="1B69CE0A" w14:textId="011CFF22">
      <w:pPr>
        <w:spacing w:after="0" w:line="312" w:lineRule="auto"/>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Scandola DS.19, doga</w:t>
      </w:r>
    </w:p>
    <w:p w:rsidR="000A7E54" w:rsidP="000A7E54" w14:paraId="45121D30" w14:textId="43C52273">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it"/>
          <w:b w:val="0"/>
          <w:bCs w:val="0"/>
          <w:i w:val="0"/>
          <w:iCs w:val="0"/>
          <w:u w:val="none"/>
          <w:vertAlign w:val="baseline"/>
          <w:rtl w:val="0"/>
        </w:rPr>
        <w:t xml:space="preserve">P.10 antracite</w:t>
      </w:r>
    </w:p>
    <w:p w:rsidR="000A7E54" w:rsidP="000A7E54" w14:paraId="62F6A62F" w14:textId="77777777">
      <w:pPr>
        <w:spacing w:after="0" w:line="312" w:lineRule="auto"/>
        <w:jc w:val="both"/>
        <w:rPr>
          <w:rFonts w:ascii="ITC Slimbach LT CE Book" w:hAnsi="ITC Slimbach LT CE Book" w:cs="Arial"/>
          <w:sz w:val="16"/>
          <w:szCs w:val="16"/>
        </w:rPr>
      </w:pPr>
    </w:p>
    <w:p w:rsidR="000A7E54" w:rsidRPr="00FB71E4" w:rsidP="000A7E54" w14:paraId="2B523A8F" w14:textId="77777777">
      <w:pPr>
        <w:spacing w:after="0" w:line="312" w:lineRule="auto"/>
        <w:jc w:val="both"/>
        <w:rPr>
          <w:rFonts w:ascii="ITC Slimbach LT CE Book" w:hAnsi="ITC Slimbach LT CE Book" w:cs="Arial"/>
          <w:sz w:val="16"/>
          <w:szCs w:val="16"/>
        </w:rPr>
      </w:pPr>
    </w:p>
    <w:p w:rsidR="000A7E54" w:rsidP="000A7E54" w14:paraId="0C9D3F7E" w14:textId="3029FCA8">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Versione breve: Nel paese sloveno di Pevno vicino a Škofja Loka, ARHITEKTURA PETERNEL ha realizzato una palestra per arrampicata con scandole DS.19 e doghe. La palestra ricorda per la sua forma un fienile e attrae grazie al suo aspetto marcato. Grazie all’utilizzo del pacato colore scuro P.10 antracite si crea un contrasto con il legno chiaro sulle parti anteriori. Tramite le scandole è stato possibile creare una transizione fluida tra il tetto e la facciata, in modo da rendereil rivestimento un manto uniforme. </w:t>
      </w:r>
    </w:p>
    <w:p w:rsidR="00497F9A" w:rsidP="00497F9A" w14:paraId="77F51C76" w14:textId="77777777">
      <w:pPr>
        <w:spacing w:after="0" w:line="312" w:lineRule="auto"/>
        <w:jc w:val="both"/>
        <w:rPr>
          <w:rFonts w:ascii="ITC Slimbach LT CE Book" w:hAnsi="ITC Slimbach LT CE Book" w:cs="Arial"/>
          <w:sz w:val="16"/>
          <w:szCs w:val="16"/>
        </w:rPr>
      </w:pPr>
    </w:p>
    <w:p w:rsidR="00497F9A" w:rsidRPr="00FB71E4" w:rsidP="00497F9A" w14:paraId="1151C9EA" w14:textId="77777777">
      <w:pPr>
        <w:spacing w:after="0" w:line="312" w:lineRule="auto"/>
        <w:jc w:val="both"/>
        <w:rPr>
          <w:rFonts w:ascii="ITC Slimbach LT CE Book" w:hAnsi="ITC Slimbach LT CE Book" w:cs="Arial"/>
          <w:sz w:val="16"/>
          <w:szCs w:val="16"/>
        </w:rPr>
      </w:pPr>
    </w:p>
    <w:p w:rsidR="00497F9A" w:rsidP="00497F9A" w14:paraId="09BBD0FB" w14:textId="49424091">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Panoramica su Prefa: Prefa Aluminiumprodukte GmbH è un'azienda affermata in tutta Europa da oltre 70 anni grazie allo sviluppo, alla produzione e alla commercializzazione di sistemi per tetti e facciate in alluminio. In totale il gruppo Prefa ha un organico di circa 640 persone. La produzione degli oltre 5000 prodotti di alta qualità avviene esclusivamente in Austria e Germania. Prefa fa parte del gruppo di aziende di proprietà dell'industriale Dr. Cornelius Grupp, che impiega più di 8000 persone in oltre 40 siti produttivi in tutto il mondo.</w:t>
      </w:r>
    </w:p>
    <w:p w:rsidR="006D2978" w:rsidP="00497F9A" w14:paraId="0DB3E35B" w14:textId="4925C405">
      <w:pPr>
        <w:spacing w:after="0"/>
        <w:jc w:val="both"/>
        <w:rPr>
          <w:rFonts w:ascii="ITC Slimbach LT CE Book" w:hAnsi="ITC Slimbach LT CE Book" w:cs="Arial"/>
        </w:rPr>
      </w:pPr>
    </w:p>
    <w:p w:rsidR="006D2978" w:rsidRPr="006D2978" w:rsidP="00497F9A" w14:paraId="6EC34180" w14:textId="084C9BCC">
      <w:pPr>
        <w:spacing w:after="0"/>
        <w:jc w:val="both"/>
        <w:rPr>
          <w:rFonts w:ascii="ITC Slimbach LT CE Book" w:hAnsi="ITC Slimbach LT CE Book" w:cs="Arial"/>
          <w:b/>
          <w:u w:val="single"/>
        </w:rPr>
        <w:bidi w:val="0"/>
      </w:pPr>
      <w:r>
        <w:rPr>
          <w:rFonts w:ascii="ITC Slimbach LT CE Book" w:cs="Arial" w:hAnsi="ITC Slimbach LT CE Book"/>
          <w:lang w:val="it"/>
          <w:b w:val="1"/>
          <w:bCs w:val="1"/>
          <w:i w:val="0"/>
          <w:iCs w:val="0"/>
          <w:u w:val="single"/>
          <w:vertAlign w:val="baseline"/>
          <w:rtl w:val="0"/>
        </w:rPr>
        <w:t xml:space="preserve">Le foto del progetto sono disponibili per il download qui:</w:t>
      </w:r>
    </w:p>
    <w:p w:rsidR="006D2978" w:rsidP="00497F9A" w14:paraId="48DDC2DE" w14:textId="33AB766F">
      <w:pPr>
        <w:spacing w:after="0"/>
        <w:jc w:val="both"/>
        <w:rPr>
          <w:rFonts w:ascii="ITC Slimbach LT CE Book" w:hAnsi="ITC Slimbach LT CE Book" w:cs="Arial"/>
        </w:rPr>
        <w:bidi w:val="0"/>
      </w:pPr>
      <w:hyperlink r:id="rId7" w:history="1">
        <w:r>
          <w:rPr>
            <w:rStyle w:val="Hyperlink"/>
            <w:rFonts w:ascii="ITC Slimbach LT CE Book" w:cs="Arial" w:hAnsi="ITC Slimbach LT CE Book"/>
            <w:lang w:val="it"/>
            <w:b w:val="0"/>
            <w:bCs w:val="0"/>
            <w:i w:val="0"/>
            <w:iCs w:val="0"/>
            <w:u w:val="single"/>
            <w:vertAlign w:val="baseline"/>
            <w:rtl w:val="0"/>
          </w:rPr>
          <w:t xml:space="preserve">https://brx522.saas.contentserv.com/admin/share/2beda57e</w:t>
        </w:r>
      </w:hyperlink>
    </w:p>
    <w:p w:rsidR="006D2978" w:rsidRPr="00870F91" w:rsidP="00497F9A" w14:paraId="1DE1CDD7" w14:textId="77777777">
      <w:pPr>
        <w:spacing w:after="0"/>
        <w:jc w:val="both"/>
        <w:rPr>
          <w:rFonts w:ascii="ITC Slimbach LT CE Book" w:hAnsi="ITC Slimbach LT CE Book" w:cs="Arial"/>
        </w:rPr>
      </w:pPr>
    </w:p>
    <w:p w:rsidR="000A7E54" w:rsidRPr="006D2978" w:rsidP="000A7E54" w14:paraId="7741D55F" w14:textId="77777777">
      <w:pPr>
        <w:spacing w:after="0" w:line="312" w:lineRule="auto"/>
        <w:jc w:val="both"/>
        <w:rPr>
          <w:rFonts w:ascii="ITC Slimbach LT CE Book" w:hAnsi="ITC Slimbach LT CE Book" w:cs="Arial"/>
          <w:b/>
          <w:sz w:val="22"/>
          <w:szCs w:val="22"/>
        </w:rPr>
        <w:bidi w:val="0"/>
      </w:pPr>
      <w:r>
        <w:rPr>
          <w:rFonts w:ascii="ITC Slimbach LT CE Book" w:cs="Arial" w:hAnsi="ITC Slimbach LT CE Book"/>
          <w:sz w:val="22"/>
          <w:szCs w:val="22"/>
          <w:lang w:val="it"/>
          <w:b w:val="1"/>
          <w:bCs w:val="1"/>
          <w:i w:val="0"/>
          <w:iCs w:val="0"/>
          <w:u w:val="none"/>
          <w:vertAlign w:val="baseline"/>
          <w:rtl w:val="0"/>
        </w:rPr>
        <w:t xml:space="preserve">Photocredit: </w:t>
      </w:r>
      <w:r>
        <w:rPr>
          <w:rFonts w:ascii="ITC Slimbach LT CE Book" w:cs="Arial" w:hAnsi="ITC Slimbach LT CE Book"/>
          <w:sz w:val="22"/>
          <w:szCs w:val="22"/>
          <w:lang w:val="it"/>
          <w:b w:val="1"/>
          <w:bCs w:val="1"/>
          <w:i w:val="0"/>
          <w:iCs w:val="0"/>
          <w:u w:val="none"/>
          <w:vertAlign w:val="baseline"/>
          <w:rtl w:val="0"/>
        </w:rPr>
        <w:t xml:space="preserve">PREFA | Croce &amp; Wir</w:t>
      </w:r>
    </w:p>
    <w:bookmarkEnd w:id="6"/>
    <w:p w:rsidR="000A7E54" w:rsidRPr="00870F91" w:rsidP="000A7E54" w14:paraId="33A39818" w14:textId="77777777">
      <w:pPr>
        <w:spacing w:after="0" w:line="312" w:lineRule="auto"/>
        <w:jc w:val="both"/>
        <w:rPr>
          <w:rFonts w:ascii="ITC Slimbach LT CE Book" w:hAnsi="ITC Slimbach LT CE Book" w:cs="Arial"/>
          <w:sz w:val="16"/>
          <w:szCs w:val="16"/>
        </w:rPr>
      </w:pPr>
    </w:p>
    <w:p w:rsidR="000A7E54" w:rsidRPr="00870F91" w:rsidP="000A7E54" w14:paraId="260EB0DB" w14:textId="77777777">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rsidR="000A7E54" w:rsidRPr="00870F91" w:rsidP="000A7E54" w14:paraId="1CA376C3" w14:textId="77777777">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it"/>
          <w:b w:val="1"/>
          <w:bCs w:val="1"/>
          <w:i w:val="0"/>
          <w:iCs w:val="0"/>
          <w:u w:val="single"/>
          <w:vertAlign w:val="baseline"/>
          <w:rtl w:val="0"/>
        </w:rPr>
        <w:t xml:space="preserve">Informazioni per la stampa internazionale:</w:t>
      </w:r>
    </w:p>
    <w:p w:rsidR="000A7E54" w:rsidRPr="00870F91" w:rsidP="000A7E54" w14:paraId="460FC8F8"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Mag. (FH) Jürgen Jungmair, MSc.</w:t>
      </w:r>
    </w:p>
    <w:p w:rsidR="000A7E54" w:rsidRPr="00870F91" w:rsidP="000A7E54" w14:paraId="669D996C"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Direzione marketing internazionale</w:t>
      </w:r>
    </w:p>
    <w:p w:rsidR="000A7E54" w:rsidRPr="00870F91" w:rsidP="000A7E54" w14:paraId="4713C170"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PREFA Aluminiumprodukte GmbH</w:t>
      </w:r>
    </w:p>
    <w:p w:rsidR="000A7E54" w:rsidRPr="00870F91" w:rsidP="000A7E54" w14:paraId="5BF0D388"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Werkstraße 1, A-3182 Marktl/Lilienfeld</w:t>
      </w:r>
    </w:p>
    <w:p w:rsidR="000A7E54" w:rsidRPr="00870F91" w:rsidP="000A7E54" w14:paraId="40EFED2F" w14:textId="77777777">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it"/>
          <w:b w:val="0"/>
          <w:bCs w:val="0"/>
          <w:i w:val="0"/>
          <w:iCs w:val="0"/>
          <w:u w:val="none"/>
          <w:vertAlign w:val="baseline"/>
          <w:rtl w:val="0"/>
        </w:rPr>
        <w:t xml:space="preserve">Tel.: +43 2762 502-801</w:t>
      </w:r>
    </w:p>
    <w:p w:rsidR="000A7E54" w:rsidRPr="00870F91" w:rsidP="000A7E54" w14:paraId="4F6B09AD"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Cell.: +43 664 965 46 70</w:t>
      </w:r>
    </w:p>
    <w:bookmarkEnd w:id="14"/>
    <w:bookmarkEnd w:id="15"/>
    <w:p w:rsidR="000A7E54" w:rsidRPr="00870F91" w:rsidP="000A7E54" w14:paraId="585F1760"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E-mail: juergen.jungmair@prefa.com</w:t>
      </w:r>
    </w:p>
    <w:p w:rsidR="000A7E54" w:rsidRPr="00870F91" w:rsidP="000A7E54" w14:paraId="53109C6F" w14:textId="77777777">
      <w:pPr>
        <w:rPr>
          <w:rStyle w:val="Hyperlink"/>
          <w:rFonts w:ascii="ITC Slimbach LT CE Book" w:hAnsi="ITC Slimbach LT CE Book" w:cs="Arial"/>
          <w:bCs/>
        </w:rPr>
        <w:bidi w:val="0"/>
      </w:pPr>
      <w:hyperlink r:id="rId8" w:history="1">
        <w:r>
          <w:rPr>
            <w:rStyle w:val="Hyperlink"/>
            <w:rFonts w:ascii="ITC Slimbach LT CE Book" w:cs="Arial" w:hAnsi="ITC Slimbach LT CE Book"/>
            <w:lang w:val="it"/>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rsidR="000A7E54" w:rsidRPr="00870F91" w:rsidP="000A7E54" w14:paraId="3F4E3101" w14:textId="77777777">
      <w:pPr>
        <w:spacing w:after="0"/>
        <w:rPr>
          <w:rFonts w:ascii="ITC Slimbach LT CE Book" w:hAnsi="ITC Slimbach LT CE Book" w:cs="Arial"/>
          <w:b/>
          <w:bCs/>
          <w:u w:val="single"/>
        </w:rPr>
        <w:bidi w:val="0"/>
      </w:pPr>
      <w:r>
        <w:rPr>
          <w:rFonts w:ascii="ITC Slimbach LT CE Book" w:cs="Arial" w:hAnsi="ITC Slimbach LT CE Book"/>
          <w:lang w:val="it"/>
          <w:b w:val="1"/>
          <w:bCs w:val="1"/>
          <w:i w:val="0"/>
          <w:iCs w:val="0"/>
          <w:u w:val="single"/>
          <w:vertAlign w:val="baseline"/>
          <w:rtl w:val="0"/>
        </w:rPr>
        <w:t xml:space="preserve">Informazioni per la stampa tedesca:</w:t>
      </w:r>
    </w:p>
    <w:p w:rsidR="000A7E54" w:rsidRPr="00870F91" w:rsidP="000A7E54" w14:paraId="35BAD5AC"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Alexandra Bendel-Doell</w:t>
      </w:r>
    </w:p>
    <w:p w:rsidR="000A7E54" w:rsidRPr="00870F91" w:rsidP="000A7E54" w14:paraId="5BA3E6F3"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Direzione marketing</w:t>
      </w:r>
    </w:p>
    <w:p w:rsidR="000A7E54" w:rsidRPr="00870F91" w:rsidP="000A7E54" w14:paraId="39DFCC59"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PREFA GmbH Alu-Dächer und -Fassaden</w:t>
      </w:r>
    </w:p>
    <w:p w:rsidR="000A7E54" w:rsidRPr="00870F91" w:rsidP="000A7E54" w14:paraId="59AF4487" w14:textId="77777777">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it"/>
          <w:b w:val="0"/>
          <w:bCs w:val="0"/>
          <w:i w:val="0"/>
          <w:iCs w:val="0"/>
          <w:u w:val="none"/>
          <w:vertAlign w:val="baseline"/>
          <w:rtl w:val="0"/>
        </w:rPr>
        <w:t xml:space="preserve">Aluminiumstraße 2, D-98634 Wasungen</w:t>
      </w:r>
    </w:p>
    <w:p w:rsidR="000A7E54" w:rsidRPr="00870F91" w:rsidP="000A7E54" w14:paraId="33E4D2D9"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Tel.: +49 36941 785 10</w:t>
      </w:r>
    </w:p>
    <w:bookmarkEnd w:id="16"/>
    <w:bookmarkEnd w:id="17"/>
    <w:p w:rsidR="000A7E54" w:rsidRPr="00870F91" w:rsidP="000A7E54" w14:paraId="6C79A692" w14:textId="77777777">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E-mail: alexandra.bendel-doell@prefa.com</w:t>
      </w:r>
    </w:p>
    <w:p w:rsidR="0041446A" w14:paraId="39D2BBF0" w14:textId="1FED9CF1">
      <w:pPr>
        <w:bidi w:val="0"/>
      </w:pPr>
      <w:hyperlink r:id="rId8" w:history="1">
        <w:r>
          <w:rPr>
            <w:rStyle w:val="Hyperlink"/>
            <w:rFonts w:ascii="ITC Slimbach LT CE Book" w:cs="Arial" w:hAnsi="ITC Slimbach LT CE Book"/>
            <w:lang w:val="it"/>
            <w:b w:val="0"/>
            <w:bCs w:val="0"/>
            <w:i w:val="0"/>
            <w:iCs w:val="0"/>
            <w:u w:val="single"/>
            <w:vertAlign w:val="baseline"/>
            <w:rtl w:val="0"/>
          </w:rPr>
          <w:t xml:space="preserve">https://www.prefa.de/</w:t>
        </w:r>
      </w:hyperlink>
    </w:p>
    <w:sectPr>
      <w:head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518" w14:paraId="77816321" w14:textId="77777777">
    <w:pPr>
      <w:pStyle w:val="Header"/>
      <w:bidi w:val="0"/>
    </w:pPr>
    <w:r>
      <w:rPr>
        <w:noProof/>
        <w:lang w:val="it"/>
        <w:b w:val="0"/>
        <w:bCs w:val="0"/>
        <w:i w:val="0"/>
        <w:iCs w:val="0"/>
        <w:u w:val="none"/>
        <w:vertAlign w:val="baseline"/>
        <w:rtl w:val="0"/>
      </w:rPr>
      <w:drawing>
        <wp:inline distT="0" distB="0" distL="0" distR="0">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50929"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2033" cy="68217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oll Veronika">
    <w15:presenceInfo w15:providerId="AD" w15:userId="S-1-5-21-2012308927-606173405-868425949-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54"/>
    <w:rsid w:val="0001566F"/>
    <w:rsid w:val="00024080"/>
    <w:rsid w:val="00054E76"/>
    <w:rsid w:val="00056ABF"/>
    <w:rsid w:val="000A7E54"/>
    <w:rsid w:val="000B38F1"/>
    <w:rsid w:val="000C3348"/>
    <w:rsid w:val="001000D5"/>
    <w:rsid w:val="00106467"/>
    <w:rsid w:val="00107D63"/>
    <w:rsid w:val="001226A3"/>
    <w:rsid w:val="00127363"/>
    <w:rsid w:val="0013187A"/>
    <w:rsid w:val="00170997"/>
    <w:rsid w:val="001A7854"/>
    <w:rsid w:val="001D2BBC"/>
    <w:rsid w:val="001E0D7E"/>
    <w:rsid w:val="001E7296"/>
    <w:rsid w:val="00207033"/>
    <w:rsid w:val="002417D2"/>
    <w:rsid w:val="002674FC"/>
    <w:rsid w:val="002B2F0F"/>
    <w:rsid w:val="002D053E"/>
    <w:rsid w:val="002E4973"/>
    <w:rsid w:val="00331254"/>
    <w:rsid w:val="0035791F"/>
    <w:rsid w:val="003A5FA7"/>
    <w:rsid w:val="003F7FFE"/>
    <w:rsid w:val="00411C35"/>
    <w:rsid w:val="0041446A"/>
    <w:rsid w:val="0043639B"/>
    <w:rsid w:val="00440C34"/>
    <w:rsid w:val="00493E82"/>
    <w:rsid w:val="00497F9A"/>
    <w:rsid w:val="004B21F7"/>
    <w:rsid w:val="004C42FF"/>
    <w:rsid w:val="004F5006"/>
    <w:rsid w:val="004F719B"/>
    <w:rsid w:val="00555CC9"/>
    <w:rsid w:val="005A5536"/>
    <w:rsid w:val="005F0524"/>
    <w:rsid w:val="00635C6A"/>
    <w:rsid w:val="00643B85"/>
    <w:rsid w:val="0065034C"/>
    <w:rsid w:val="00657060"/>
    <w:rsid w:val="006936EA"/>
    <w:rsid w:val="006D098E"/>
    <w:rsid w:val="006D2978"/>
    <w:rsid w:val="006E72AF"/>
    <w:rsid w:val="00771B8D"/>
    <w:rsid w:val="007770D7"/>
    <w:rsid w:val="007A2EC9"/>
    <w:rsid w:val="007F5EC8"/>
    <w:rsid w:val="00813D50"/>
    <w:rsid w:val="0082068C"/>
    <w:rsid w:val="008506D7"/>
    <w:rsid w:val="00870F91"/>
    <w:rsid w:val="008C07F6"/>
    <w:rsid w:val="008C0FC2"/>
    <w:rsid w:val="008E2AC9"/>
    <w:rsid w:val="00926E3F"/>
    <w:rsid w:val="009305F0"/>
    <w:rsid w:val="00947A5C"/>
    <w:rsid w:val="009524D0"/>
    <w:rsid w:val="00954D0E"/>
    <w:rsid w:val="009E2924"/>
    <w:rsid w:val="00A14349"/>
    <w:rsid w:val="00A46D0D"/>
    <w:rsid w:val="00A51A7E"/>
    <w:rsid w:val="00A8389C"/>
    <w:rsid w:val="00AA2EE5"/>
    <w:rsid w:val="00AC74E0"/>
    <w:rsid w:val="00AF7B0E"/>
    <w:rsid w:val="00B21852"/>
    <w:rsid w:val="00B22301"/>
    <w:rsid w:val="00B67A0A"/>
    <w:rsid w:val="00B9171E"/>
    <w:rsid w:val="00B94F3F"/>
    <w:rsid w:val="00B97B3D"/>
    <w:rsid w:val="00BD0D80"/>
    <w:rsid w:val="00BD5506"/>
    <w:rsid w:val="00BF3394"/>
    <w:rsid w:val="00C27A4C"/>
    <w:rsid w:val="00C64982"/>
    <w:rsid w:val="00C67C15"/>
    <w:rsid w:val="00C72501"/>
    <w:rsid w:val="00C81962"/>
    <w:rsid w:val="00D24486"/>
    <w:rsid w:val="00D710BD"/>
    <w:rsid w:val="00D87338"/>
    <w:rsid w:val="00DE6812"/>
    <w:rsid w:val="00DF2288"/>
    <w:rsid w:val="00E021F7"/>
    <w:rsid w:val="00E13408"/>
    <w:rsid w:val="00E17E1D"/>
    <w:rsid w:val="00E200DA"/>
    <w:rsid w:val="00E255BE"/>
    <w:rsid w:val="00E711A9"/>
    <w:rsid w:val="00E81A7B"/>
    <w:rsid w:val="00EA3EE8"/>
    <w:rsid w:val="00EA5A3A"/>
    <w:rsid w:val="00EC5DB5"/>
    <w:rsid w:val="00ED485E"/>
    <w:rsid w:val="00EF7518"/>
    <w:rsid w:val="00F056D5"/>
    <w:rsid w:val="00F17A78"/>
    <w:rsid w:val="00F32FD3"/>
    <w:rsid w:val="00F5607E"/>
    <w:rsid w:val="00FB71E4"/>
    <w:rsid w:val="00FC4496"/>
  </w:rsids>
  <m:mathPr>
    <m:mathFont m:val="Cambria Math"/>
  </m:mathPr>
  <w:themeFontLang w:val="de-AT"/>
  <w:clrSchemeMapping w:bg1="light1" w:t1="dark1" w:bg2="light2" w:t2="dark2" w:accent1="accent1" w:accent2="accent2" w:accent3="accent3" w:accent4="accent4" w:accent5="accent5" w:accent6="accent6" w:hyperlink="hyperlink" w:followedHyperlink="followedHyperlink"/>
  <w15:chartTrackingRefBased/>
  <w15:docId w15:val="{F7C02D91-2551-174B-AA4A-8304313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HAnsi"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54"/>
    <w:pPr>
      <w:spacing w:after="200" w:line="276" w:lineRule="auto"/>
    </w:pPr>
    <w:rPr>
      <w:rFonts w:asciiTheme="minorHAnsi" w:eastAsiaTheme="minorEastAsia" w:hAnsiTheme="minorHAnsi" w:cstheme="minorBidi"/>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hAnsi="Helvetica" w:eastAsiaTheme="minorHAnsi" w:cs="Times New Roman (Textkörper CS)"/>
      <w:lang w:val="de-AT" w:eastAsia="en-US"/>
    </w:rPr>
  </w:style>
  <w:style w:type="character" w:styleId="Hyperlink">
    <w:name w:val="Hyperlink"/>
    <w:basedOn w:val="DefaultParagraphFont"/>
    <w:uiPriority w:val="99"/>
    <w:unhideWhenUsed/>
    <w:rsid w:val="000A7E54"/>
    <w:rPr>
      <w:rFonts w:ascii="Verdana" w:hAnsi="Verdana" w:hint="default"/>
      <w:color w:val="CC0000"/>
      <w:u w:val="single"/>
    </w:rPr>
  </w:style>
  <w:style w:type="paragraph" w:styleId="Header">
    <w:name w:val="header"/>
    <w:basedOn w:val="Normal"/>
    <w:link w:val="KopfzeileZchn"/>
    <w:uiPriority w:val="99"/>
    <w:unhideWhenUsed/>
    <w:rsid w:val="000A7E5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0A7E54"/>
    <w:rPr>
      <w:rFonts w:asciiTheme="minorHAnsi" w:eastAsiaTheme="minorEastAsia" w:hAnsiTheme="minorHAnsi" w:cstheme="minorBidi"/>
      <w:szCs w:val="22"/>
      <w:lang w:val="de-DE" w:eastAsia="de-DE"/>
    </w:rPr>
  </w:style>
  <w:style w:type="character" w:styleId="CommentReference">
    <w:name w:val="annotation reference"/>
    <w:basedOn w:val="DefaultParagraphFont"/>
    <w:uiPriority w:val="99"/>
    <w:semiHidden/>
    <w:unhideWhenUsed/>
    <w:rsid w:val="00FC4496"/>
    <w:rPr>
      <w:sz w:val="16"/>
      <w:szCs w:val="16"/>
    </w:rPr>
  </w:style>
  <w:style w:type="paragraph" w:styleId="CommentText">
    <w:name w:val="annotation text"/>
    <w:basedOn w:val="Normal"/>
    <w:link w:val="KommentartextZchn"/>
    <w:uiPriority w:val="99"/>
    <w:semiHidden/>
    <w:unhideWhenUsed/>
    <w:rsid w:val="00FC4496"/>
    <w:pPr>
      <w:spacing w:line="240" w:lineRule="auto"/>
    </w:pPr>
    <w:rPr>
      <w:sz w:val="20"/>
      <w:szCs w:val="20"/>
    </w:rPr>
  </w:style>
  <w:style w:type="character" w:customStyle="1" w:styleId="KommentartextZchn">
    <w:name w:val="Kommentartext Zchn"/>
    <w:basedOn w:val="DefaultParagraphFont"/>
    <w:link w:val="CommentText"/>
    <w:uiPriority w:val="99"/>
    <w:semiHidden/>
    <w:rsid w:val="00FC4496"/>
    <w:rPr>
      <w:rFonts w:asciiTheme="minorHAnsi" w:eastAsiaTheme="minorEastAsia" w:hAnsiTheme="minorHAnsi" w:cstheme="minorBidi"/>
      <w:sz w:val="20"/>
      <w:szCs w:val="20"/>
      <w:lang w:val="de-DE" w:eastAsia="de-DE"/>
    </w:rPr>
  </w:style>
  <w:style w:type="paragraph" w:styleId="CommentSubject">
    <w:name w:val="annotation subject"/>
    <w:basedOn w:val="CommentText"/>
    <w:next w:val="CommentText"/>
    <w:link w:val="KommentarthemaZchn"/>
    <w:uiPriority w:val="99"/>
    <w:semiHidden/>
    <w:unhideWhenUsed/>
    <w:rsid w:val="00FC4496"/>
    <w:rPr>
      <w:b/>
      <w:bCs/>
    </w:rPr>
  </w:style>
  <w:style w:type="character" w:customStyle="1" w:styleId="KommentarthemaZchn">
    <w:name w:val="Kommentarthema Zchn"/>
    <w:basedOn w:val="KommentartextZchn"/>
    <w:link w:val="CommentSubject"/>
    <w:uiPriority w:val="99"/>
    <w:semiHidden/>
    <w:rsid w:val="00FC4496"/>
    <w:rPr>
      <w:rFonts w:asciiTheme="minorHAnsi" w:eastAsiaTheme="minorEastAsia" w:hAnsiTheme="minorHAnsi" w:cstheme="minorBidi"/>
      <w:b/>
      <w:bCs/>
      <w:sz w:val="20"/>
      <w:szCs w:val="20"/>
      <w:lang w:val="de-DE" w:eastAsia="de-DE"/>
    </w:rPr>
  </w:style>
  <w:style w:type="paragraph" w:styleId="Revision">
    <w:name w:val="Revision"/>
    <w:hidden/>
    <w:uiPriority w:val="99"/>
    <w:semiHidden/>
    <w:rsid w:val="00D710BD"/>
    <w:rPr>
      <w:rFonts w:asciiTheme="minorHAnsi" w:eastAsiaTheme="minorEastAsia" w:hAnsiTheme="minorHAnsi" w:cstheme="minorBidi"/>
      <w:szCs w:val="22"/>
      <w:lang w:val="de-DE" w:eastAsia="de-DE"/>
    </w:rPr>
  </w:style>
  <w:style w:type="paragraph" w:styleId="BalloonText">
    <w:name w:val="Balloon Text"/>
    <w:basedOn w:val="Normal"/>
    <w:link w:val="SprechblasentextZchn"/>
    <w:uiPriority w:val="99"/>
    <w:semiHidden/>
    <w:unhideWhenUsed/>
    <w:rsid w:val="006D2978"/>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6D2978"/>
    <w:rPr>
      <w:rFonts w:ascii="Segoe UI" w:hAnsi="Segoe UI" w:eastAsiaTheme="minorEastAsia"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ode="External" Target="https://brx522.saas.contentserv.com/admin/share/2beda57e" /><Relationship Id="rId8" Type="http://schemas.openxmlformats.org/officeDocument/2006/relationships/hyperlink" TargetMode="External" Target="about:blank"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6" ma:contentTypeDescription="Ein neues Dokument erstellen." ma:contentTypeScope="" ma:versionID="c80e26bd8b051535062e25473135a9d0">
  <xsd:schema xmlns:xsd="http://www.w3.org/2001/XMLSchema" xmlns:xs="http://www.w3.org/2001/XMLSchema" xmlns:p="http://schemas.microsoft.com/office/2006/metadata/properties" xmlns:ns2="e3043f50-4551-494c-8314-fd32950e204d" xmlns:ns3="4459c228-f933-4ebb-8b44-6e3d6bbfce37" xmlns:ns4="bf01325f-6d04-4905-92c1-287a220edac3" targetNamespace="http://schemas.microsoft.com/office/2006/metadata/properties" ma:root="true" ma:fieldsID="393f81138f12084ea5b5fe84a4bdbed1" ns2:_="" ns3:_="" ns4:_="">
    <xsd:import namespace="e3043f50-4551-494c-8314-fd32950e204d"/>
    <xsd:import namespace="4459c228-f933-4ebb-8b44-6e3d6bbfce37"/>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9c228-f933-4ebb-8b44-6e3d6bbfce3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e3043f50-4551-494c-8314-fd32950e20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A94171-A891-4C5A-98FD-228967D63202}"/>
</file>

<file path=customXml/itemProps2.xml><?xml version="1.0" encoding="utf-8"?>
<ds:datastoreItem xmlns:ds="http://schemas.openxmlformats.org/officeDocument/2006/customXml" ds:itemID="{C50C091F-55D0-4962-8B10-C464E2437AD2}">
  <ds:schemaRefs/>
</ds:datastoreItem>
</file>

<file path=customXml/itemProps3.xml><?xml version="1.0" encoding="utf-8"?>
<ds:datastoreItem xmlns:ds="http://schemas.openxmlformats.org/officeDocument/2006/customXml" ds:itemID="{C53363E1-265E-4320-9203-1202E3B0A9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Roll Veronika</cp:lastModifiedBy>
  <cp:revision>3</cp:revision>
  <dcterms:created xsi:type="dcterms:W3CDTF">2022-03-09T06:13:00Z</dcterms:created>
  <dcterms:modified xsi:type="dcterms:W3CDTF">2022-03-09T06:23:00Z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