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70" w:rsidRDefault="00184570" w:rsidP="00184570">
      <w:pPr>
        <w:tabs>
          <w:tab w:val="left" w:pos="284"/>
        </w:tabs>
        <w:ind w:left="284" w:right="141"/>
        <w:rPr>
          <w:rFonts w:ascii="Arial" w:hAnsi="Arial" w:cs="Arial"/>
          <w:b/>
          <w:sz w:val="28"/>
          <w:szCs w:val="28"/>
          <w:lang w:val="it-IT"/>
        </w:rPr>
      </w:pPr>
      <w:bookmarkStart w:id="0" w:name="_GoBack"/>
      <w:bookmarkEnd w:id="0"/>
    </w:p>
    <w:p w:rsidR="00184570" w:rsidRDefault="00184570" w:rsidP="00184570">
      <w:pPr>
        <w:pStyle w:val="Default"/>
      </w:pPr>
    </w:p>
    <w:p w:rsidR="00184570" w:rsidRDefault="00184570" w:rsidP="00184570">
      <w:pPr>
        <w:pStyle w:val="Default"/>
      </w:pPr>
      <w:r>
        <w:t xml:space="preserve"> </w:t>
      </w:r>
    </w:p>
    <w:p w:rsidR="00184570" w:rsidRDefault="00184570" w:rsidP="00184570">
      <w:pPr>
        <w:pStyle w:val="Default"/>
        <w:rPr>
          <w:rFonts w:ascii="Arial" w:hAnsi="Arial" w:cs="Arial"/>
          <w:b/>
          <w:sz w:val="28"/>
          <w:szCs w:val="28"/>
        </w:rPr>
      </w:pPr>
      <w:r>
        <w:t xml:space="preserve"> </w:t>
      </w:r>
      <w:r>
        <w:rPr>
          <w:b/>
          <w:bCs/>
          <w:sz w:val="28"/>
          <w:szCs w:val="28"/>
        </w:rPr>
        <w:t>PREFArenzen/</w:t>
      </w:r>
      <w:r>
        <w:rPr>
          <w:sz w:val="28"/>
          <w:szCs w:val="28"/>
        </w:rPr>
        <w:t>Case History</w:t>
      </w:r>
      <w:r>
        <w:rPr>
          <w:b/>
          <w:bCs/>
          <w:sz w:val="28"/>
          <w:szCs w:val="28"/>
        </w:rPr>
        <w:t>, febbraio 2015</w:t>
      </w:r>
      <w:r w:rsidRPr="00E27E4B">
        <w:rPr>
          <w:rFonts w:ascii="Arial" w:hAnsi="Arial" w:cs="Arial"/>
          <w:b/>
          <w:sz w:val="28"/>
          <w:szCs w:val="28"/>
        </w:rPr>
        <w:tab/>
      </w:r>
    </w:p>
    <w:p w:rsidR="00184570" w:rsidRPr="00E27E4B" w:rsidRDefault="00184570" w:rsidP="00184570">
      <w:pPr>
        <w:pStyle w:val="Default"/>
        <w:rPr>
          <w:rFonts w:ascii="Arial" w:hAnsi="Arial" w:cs="Arial"/>
          <w:b/>
          <w:sz w:val="28"/>
          <w:szCs w:val="28"/>
        </w:rPr>
      </w:pPr>
      <w:r w:rsidRPr="00E27E4B">
        <w:rPr>
          <w:rFonts w:ascii="Arial" w:hAnsi="Arial" w:cs="Arial"/>
          <w:b/>
          <w:sz w:val="28"/>
          <w:szCs w:val="28"/>
        </w:rPr>
        <w:tab/>
      </w:r>
      <w:r w:rsidRPr="00E27E4B">
        <w:rPr>
          <w:rFonts w:ascii="Arial" w:hAnsi="Arial" w:cs="Arial"/>
          <w:b/>
          <w:sz w:val="28"/>
          <w:szCs w:val="28"/>
        </w:rPr>
        <w:tab/>
      </w:r>
      <w:r w:rsidRPr="00E27E4B">
        <w:rPr>
          <w:rFonts w:ascii="Arial" w:hAnsi="Arial" w:cs="Arial"/>
          <w:b/>
          <w:sz w:val="28"/>
          <w:szCs w:val="28"/>
        </w:rPr>
        <w:tab/>
      </w:r>
      <w:r>
        <w:rPr>
          <w:rFonts w:ascii="Arial" w:hAnsi="Arial" w:cs="Arial"/>
          <w:b/>
          <w:sz w:val="28"/>
          <w:szCs w:val="28"/>
        </w:rPr>
        <w:t xml:space="preserve">     </w:t>
      </w:r>
    </w:p>
    <w:p w:rsidR="00184570" w:rsidRDefault="00184570" w:rsidP="00184570">
      <w:pPr>
        <w:ind w:left="142" w:right="141"/>
        <w:rPr>
          <w:rFonts w:ascii="Arial" w:hAnsi="Arial" w:cs="Arial"/>
          <w:b/>
          <w:sz w:val="28"/>
          <w:szCs w:val="28"/>
          <w:lang w:val="it-I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84570" w:rsidRPr="00C6698D" w:rsidTr="00976957">
        <w:tc>
          <w:tcPr>
            <w:tcW w:w="9214" w:type="dxa"/>
            <w:shd w:val="clear" w:color="auto" w:fill="auto"/>
          </w:tcPr>
          <w:p w:rsidR="00184570" w:rsidRPr="00184570" w:rsidRDefault="00184570" w:rsidP="00976957">
            <w:pPr>
              <w:spacing w:before="120" w:after="120"/>
              <w:ind w:right="142"/>
              <w:rPr>
                <w:rFonts w:ascii="Slimbach LT" w:hAnsi="Slimbach LT" w:cs="Arial"/>
                <w:lang w:val="it-IT"/>
              </w:rPr>
            </w:pPr>
            <w:r w:rsidRPr="00184570">
              <w:rPr>
                <w:rFonts w:ascii="Slimbach LT" w:hAnsi="Slimbach LT" w:cs="Arial"/>
                <w:b/>
                <w:lang w:val="it-IT"/>
              </w:rPr>
              <w:t xml:space="preserve">Intervento: </w:t>
            </w:r>
            <w:r w:rsidRPr="00184570">
              <w:rPr>
                <w:rFonts w:ascii="Slimbach LT" w:hAnsi="Slimbach LT" w:cs="Arial"/>
                <w:lang w:val="it-IT"/>
              </w:rPr>
              <w:t>Nuova costruzione</w:t>
            </w:r>
          </w:p>
          <w:p w:rsidR="00184570" w:rsidRPr="00184570" w:rsidRDefault="00184570" w:rsidP="00976957">
            <w:pPr>
              <w:spacing w:before="120" w:after="120"/>
              <w:ind w:right="142"/>
              <w:rPr>
                <w:rFonts w:ascii="Slimbach LT" w:hAnsi="Slimbach LT" w:cs="Arial"/>
                <w:b/>
                <w:lang w:val="it-IT"/>
              </w:rPr>
            </w:pPr>
            <w:r w:rsidRPr="00184570">
              <w:rPr>
                <w:rFonts w:ascii="Slimbach LT" w:hAnsi="Slimbach LT" w:cs="Arial"/>
                <w:b/>
                <w:lang w:val="it-IT"/>
              </w:rPr>
              <w:t>Anno:</w:t>
            </w:r>
            <w:r w:rsidRPr="00184570">
              <w:rPr>
                <w:rFonts w:ascii="Slimbach LT" w:hAnsi="Slimbach LT" w:cs="Arial"/>
                <w:lang w:val="it-IT"/>
              </w:rPr>
              <w:t xml:space="preserve"> 2012</w:t>
            </w:r>
          </w:p>
          <w:p w:rsidR="00184570" w:rsidRPr="00184570" w:rsidRDefault="00184570" w:rsidP="00976957">
            <w:pPr>
              <w:spacing w:before="120" w:after="120"/>
              <w:ind w:right="142"/>
              <w:rPr>
                <w:rFonts w:ascii="Slimbach LT" w:hAnsi="Slimbach LT" w:cs="Arial"/>
                <w:lang w:val="it-IT"/>
              </w:rPr>
            </w:pPr>
            <w:r w:rsidRPr="00184570">
              <w:rPr>
                <w:rFonts w:ascii="Slimbach LT" w:hAnsi="Slimbach LT" w:cs="Arial"/>
                <w:b/>
                <w:lang w:val="it-IT"/>
              </w:rPr>
              <w:t xml:space="preserve">Tipologia: </w:t>
            </w:r>
            <w:r w:rsidRPr="00184570">
              <w:rPr>
                <w:rFonts w:ascii="Slimbach LT" w:hAnsi="Slimbach LT" w:cs="Arial"/>
                <w:lang w:val="it-IT"/>
              </w:rPr>
              <w:t>Edificio residenziale</w:t>
            </w:r>
          </w:p>
          <w:p w:rsidR="00184570" w:rsidRPr="00184570" w:rsidRDefault="00184570" w:rsidP="00976957">
            <w:pPr>
              <w:spacing w:before="120" w:after="120"/>
              <w:ind w:right="142"/>
              <w:rPr>
                <w:rFonts w:ascii="Slimbach LT" w:hAnsi="Slimbach LT" w:cs="Arial"/>
                <w:b/>
                <w:lang w:val="it-IT"/>
              </w:rPr>
            </w:pPr>
            <w:r w:rsidRPr="00184570">
              <w:rPr>
                <w:rFonts w:ascii="Slimbach LT" w:hAnsi="Slimbach LT" w:cs="Arial"/>
                <w:b/>
                <w:lang w:val="it-IT"/>
              </w:rPr>
              <w:t xml:space="preserve">Nome del Progetto: </w:t>
            </w:r>
            <w:r w:rsidRPr="00184570">
              <w:rPr>
                <w:rFonts w:ascii="Slimbach LT" w:hAnsi="Slimbach LT" w:cs="Arial"/>
                <w:bCs/>
                <w:lang w:val="it-IT"/>
              </w:rPr>
              <w:t>Villa Game Architecture</w:t>
            </w:r>
          </w:p>
          <w:p w:rsidR="00184570" w:rsidRPr="00184570" w:rsidRDefault="00184570" w:rsidP="00976957">
            <w:pPr>
              <w:pStyle w:val="Pa4"/>
              <w:rPr>
                <w:rFonts w:ascii="Slimbach LT" w:hAnsi="Slimbach LT" w:cs="CCELE R+ DIN Cond"/>
                <w:color w:val="000000"/>
                <w:sz w:val="23"/>
                <w:szCs w:val="23"/>
              </w:rPr>
            </w:pPr>
            <w:r w:rsidRPr="00184570">
              <w:rPr>
                <w:rFonts w:ascii="Slimbach LT" w:hAnsi="Slimbach LT" w:cs="Arial"/>
                <w:b/>
              </w:rPr>
              <w:t xml:space="preserve">Progettisti: Studio </w:t>
            </w:r>
            <w:r w:rsidRPr="00184570">
              <w:rPr>
                <w:rFonts w:ascii="Slimbach LT" w:hAnsi="Slimbach LT" w:cs="CCELE R+ DIN Cond"/>
                <w:color w:val="000000"/>
                <w:sz w:val="23"/>
                <w:szCs w:val="23"/>
              </w:rPr>
              <w:t xml:space="preserve">Darbellay Meilland Schers – Architectes epfl, GAME </w:t>
            </w:r>
          </w:p>
          <w:p w:rsidR="00184570" w:rsidRPr="00184570" w:rsidRDefault="00184570" w:rsidP="00976957">
            <w:pPr>
              <w:spacing w:before="120" w:after="120"/>
              <w:ind w:right="142"/>
              <w:rPr>
                <w:rFonts w:ascii="Slimbach LT" w:hAnsi="Slimbach LT" w:cs="Arial"/>
                <w:b/>
                <w:lang w:val="it-IT"/>
              </w:rPr>
            </w:pPr>
            <w:r w:rsidRPr="00184570">
              <w:rPr>
                <w:rFonts w:ascii="Slimbach LT" w:hAnsi="Slimbach LT" w:cs="Arial"/>
                <w:b/>
                <w:lang w:val="it-IT"/>
              </w:rPr>
              <w:t xml:space="preserve">Ubicazione: </w:t>
            </w:r>
            <w:r w:rsidRPr="00184570">
              <w:rPr>
                <w:rFonts w:ascii="Slimbach LT" w:hAnsi="Slimbach LT" w:cs="Arial"/>
                <w:bCs/>
                <w:lang w:val="it-IT"/>
              </w:rPr>
              <w:t>Svizzera</w:t>
            </w:r>
          </w:p>
          <w:p w:rsidR="00184570" w:rsidRPr="00184570" w:rsidRDefault="00184570" w:rsidP="00976957">
            <w:pPr>
              <w:spacing w:before="120" w:after="120"/>
              <w:ind w:right="142"/>
              <w:rPr>
                <w:rFonts w:ascii="Slimbach LT" w:hAnsi="Slimbach LT" w:cs="Arial"/>
                <w:lang w:val="it-IT"/>
              </w:rPr>
            </w:pPr>
            <w:r w:rsidRPr="00184570">
              <w:rPr>
                <w:rFonts w:ascii="Slimbach LT" w:hAnsi="Slimbach LT" w:cs="Arial"/>
                <w:b/>
                <w:lang w:val="it-IT"/>
              </w:rPr>
              <w:t xml:space="preserve">Realizzazione: </w:t>
            </w:r>
            <w:r w:rsidRPr="00184570">
              <w:rPr>
                <w:rFonts w:ascii="Slimbach LT" w:hAnsi="Slimbach LT" w:cs="Arial"/>
                <w:lang w:val="it-IT"/>
              </w:rPr>
              <w:t>Copertura e facciata</w:t>
            </w:r>
          </w:p>
          <w:p w:rsidR="00184570" w:rsidRPr="009F4262" w:rsidRDefault="00184570" w:rsidP="00976957">
            <w:pPr>
              <w:spacing w:before="120" w:after="120"/>
              <w:ind w:right="142"/>
              <w:rPr>
                <w:rFonts w:ascii="Arial" w:hAnsi="Arial" w:cs="Arial"/>
                <w:b/>
                <w:sz w:val="28"/>
                <w:szCs w:val="28"/>
                <w:lang w:val="it-IT"/>
              </w:rPr>
            </w:pPr>
            <w:r w:rsidRPr="00184570">
              <w:rPr>
                <w:rFonts w:ascii="Slimbach LT" w:hAnsi="Slimbach LT" w:cs="Arial"/>
                <w:b/>
                <w:lang w:val="it-IT"/>
              </w:rPr>
              <w:t>Prodotto</w:t>
            </w:r>
            <w:r w:rsidRPr="00184570">
              <w:rPr>
                <w:rFonts w:ascii="Slimbach LT" w:hAnsi="Slimbach LT" w:cs="Arial"/>
                <w:lang w:val="it-IT"/>
              </w:rPr>
              <w:t xml:space="preserve">: Scandola PREFA </w:t>
            </w:r>
            <w:r w:rsidRPr="00184570">
              <w:rPr>
                <w:rFonts w:ascii="Slimbach LT" w:hAnsi="Slimbach LT" w:cs="Arial"/>
                <w:bCs/>
                <w:lang w:val="it-IT"/>
              </w:rPr>
              <w:t>antracite P.10</w:t>
            </w:r>
          </w:p>
        </w:tc>
      </w:tr>
    </w:tbl>
    <w:p w:rsidR="00184570" w:rsidRDefault="00184570" w:rsidP="00184570">
      <w:pPr>
        <w:tabs>
          <w:tab w:val="left" w:pos="7513"/>
        </w:tabs>
        <w:ind w:right="-1"/>
        <w:jc w:val="both"/>
        <w:rPr>
          <w:rFonts w:ascii="Arial" w:hAnsi="Arial" w:cs="Arial"/>
          <w:b/>
          <w:sz w:val="28"/>
          <w:szCs w:val="28"/>
          <w:lang w:val="it-IT"/>
        </w:rPr>
      </w:pPr>
    </w:p>
    <w:p w:rsidR="00184570" w:rsidRPr="00E27E4B" w:rsidRDefault="00184570" w:rsidP="00184570">
      <w:pPr>
        <w:tabs>
          <w:tab w:val="left" w:pos="284"/>
        </w:tabs>
        <w:ind w:left="284" w:right="141"/>
        <w:rPr>
          <w:rFonts w:ascii="Arial" w:hAnsi="Arial" w:cs="Arial"/>
          <w:b/>
          <w:sz w:val="28"/>
          <w:szCs w:val="28"/>
          <w:lang w:val="it-IT"/>
        </w:rPr>
      </w:pPr>
    </w:p>
    <w:p w:rsidR="00184570" w:rsidRPr="00184570" w:rsidRDefault="00184570" w:rsidP="00184570">
      <w:pPr>
        <w:tabs>
          <w:tab w:val="left" w:pos="284"/>
          <w:tab w:val="left" w:pos="600"/>
        </w:tabs>
        <w:spacing w:after="120" w:line="312" w:lineRule="auto"/>
        <w:ind w:left="284" w:right="141"/>
        <w:rPr>
          <w:rFonts w:ascii="Slimbach LT" w:hAnsi="Slimbach LT" w:cs="Arial"/>
          <w:b/>
          <w:bCs/>
          <w:color w:val="000000"/>
          <w:sz w:val="28"/>
          <w:szCs w:val="28"/>
          <w:lang w:val="it-IT"/>
        </w:rPr>
      </w:pPr>
      <w:r w:rsidRPr="00184570">
        <w:rPr>
          <w:rFonts w:ascii="Slimbach LT" w:hAnsi="Slimbach LT" w:cs="Arial"/>
          <w:b/>
          <w:bCs/>
          <w:color w:val="000000"/>
          <w:sz w:val="28"/>
          <w:szCs w:val="28"/>
          <w:lang w:val="it-IT"/>
        </w:rPr>
        <w:t>Coerenza estetica e funzionalità per la villa “Game Architecture” realizzata in Svizzera, interamente rivestita con Scandole PREFA.</w:t>
      </w:r>
    </w:p>
    <w:p w:rsidR="00184570" w:rsidRPr="00184570" w:rsidRDefault="00184570" w:rsidP="00184570">
      <w:pPr>
        <w:tabs>
          <w:tab w:val="left" w:pos="284"/>
          <w:tab w:val="left" w:pos="600"/>
        </w:tabs>
        <w:spacing w:after="120" w:line="312" w:lineRule="auto"/>
        <w:ind w:left="284" w:right="141"/>
        <w:jc w:val="both"/>
        <w:rPr>
          <w:rFonts w:ascii="Slimbach LT" w:hAnsi="Slimbach LT" w:cs="Arial"/>
          <w:b/>
          <w:bCs/>
          <w:color w:val="000000"/>
          <w:lang w:val="it-IT"/>
        </w:rPr>
      </w:pPr>
    </w:p>
    <w:p w:rsidR="00184570" w:rsidRPr="00184570" w:rsidRDefault="00184570" w:rsidP="00184570">
      <w:pPr>
        <w:spacing w:line="312" w:lineRule="auto"/>
        <w:ind w:left="284" w:right="141"/>
        <w:jc w:val="both"/>
        <w:rPr>
          <w:rFonts w:ascii="Slimbach LT" w:hAnsi="Slimbach LT" w:cs="Arial"/>
          <w:lang w:val="it-IT"/>
        </w:rPr>
      </w:pPr>
      <w:r w:rsidRPr="00184570">
        <w:rPr>
          <w:rFonts w:ascii="Slimbach LT" w:hAnsi="Slimbach LT" w:cs="Arial"/>
          <w:lang w:val="it-IT"/>
        </w:rPr>
        <w:t>La Villa Game Architecture sorge a Orsières nel cuore delle alpi svizzere. Il progetto curato dallo studio Darbellay Meilland Schers, manifesta un concetto di architettura non finalizzata a se stessa, che supera la mera ricerca estetica per inserirsi nel contesto naturale e architettonico circostante in modo paradossale e al tempo stesso simbiotico.</w:t>
      </w:r>
    </w:p>
    <w:p w:rsidR="00184570" w:rsidRPr="00184570" w:rsidRDefault="00184570" w:rsidP="00184570">
      <w:pPr>
        <w:spacing w:line="312" w:lineRule="auto"/>
        <w:ind w:left="284" w:right="141"/>
        <w:jc w:val="both"/>
        <w:rPr>
          <w:rFonts w:ascii="Slimbach LT" w:hAnsi="Slimbach LT" w:cs="Arial"/>
          <w:lang w:val="it-IT"/>
        </w:rPr>
      </w:pPr>
      <w:r w:rsidRPr="00184570">
        <w:rPr>
          <w:rFonts w:ascii="Slimbach LT" w:hAnsi="Slimbach LT" w:cs="Arial"/>
          <w:lang w:val="it-IT"/>
        </w:rPr>
        <w:t>La forma dell’edificio infatti si plasma sui movimenti e sulle pendenze della montagna, come un elemento integrante del paesaggio, senza dimenticare la natura funzionale di ogni parte della costruzione. La scelta del team di architetti dello studio Darbellay Meilland Schers si è orientata nella direzione di privilegiare un legame fortissimo con la natura circostante piuttosto che con la tradizione architettonica locale.</w:t>
      </w:r>
    </w:p>
    <w:p w:rsidR="00184570" w:rsidRDefault="00184570" w:rsidP="00184570">
      <w:pPr>
        <w:tabs>
          <w:tab w:val="left" w:pos="284"/>
          <w:tab w:val="left" w:pos="600"/>
        </w:tabs>
        <w:spacing w:after="120" w:line="312" w:lineRule="auto"/>
        <w:ind w:left="284" w:right="141"/>
        <w:jc w:val="both"/>
        <w:rPr>
          <w:rFonts w:ascii="Slimbach LT" w:hAnsi="Slimbach LT" w:cs="Arial"/>
          <w:lang w:val="it-IT"/>
        </w:rPr>
      </w:pPr>
      <w:r w:rsidRPr="00184570">
        <w:rPr>
          <w:rFonts w:ascii="Slimbach LT" w:hAnsi="Slimbach LT" w:cs="Arial"/>
          <w:lang w:val="it-IT"/>
        </w:rPr>
        <w:t>È nato così il progetto di un edificio residenziale che riuscisse a soddisfare l’esigenza di privacy dei proprietari con il pregio di una vista mozzafiato sulle montagne e sulla vallata.</w:t>
      </w:r>
    </w:p>
    <w:p w:rsidR="00184570" w:rsidRPr="00184570" w:rsidRDefault="00184570" w:rsidP="00184570">
      <w:pPr>
        <w:tabs>
          <w:tab w:val="left" w:pos="284"/>
          <w:tab w:val="left" w:pos="600"/>
        </w:tabs>
        <w:spacing w:after="120" w:line="312" w:lineRule="auto"/>
        <w:ind w:left="284" w:right="141"/>
        <w:jc w:val="both"/>
        <w:rPr>
          <w:rFonts w:ascii="Slimbach LT" w:hAnsi="Slimbach LT" w:cs="Arial"/>
          <w:lang w:val="it-IT"/>
        </w:rPr>
      </w:pPr>
    </w:p>
    <w:p w:rsidR="00184570" w:rsidRPr="00184570" w:rsidRDefault="00184570" w:rsidP="00184570">
      <w:pPr>
        <w:spacing w:line="312" w:lineRule="auto"/>
        <w:ind w:left="284" w:right="141"/>
        <w:jc w:val="both"/>
        <w:rPr>
          <w:rFonts w:ascii="Slimbach LT" w:hAnsi="Slimbach LT" w:cs="Arial"/>
          <w:lang w:val="it-IT"/>
        </w:rPr>
      </w:pPr>
      <w:r w:rsidRPr="00184570">
        <w:rPr>
          <w:rFonts w:ascii="Slimbach LT" w:hAnsi="Slimbach LT" w:cs="Arial"/>
          <w:lang w:val="it-IT"/>
        </w:rPr>
        <w:t xml:space="preserve">La pendenza naturale del terreno, con i suoi movimenti di declivi e semipiani consente di offrire a tutte le stanze accesso diretto sul giardino circostante e una vista panoramica. L’edificio, spigoloso e essenziale nelle forme, offre una piacevole continuità fra le pareti e le coperture, creando alla vista un corpo monolitico che nasconde in realtà piccoli cortili nascosti alla vista esterna. </w:t>
      </w:r>
    </w:p>
    <w:p w:rsidR="00184570" w:rsidRPr="00184570" w:rsidRDefault="00184570" w:rsidP="00184570">
      <w:pPr>
        <w:tabs>
          <w:tab w:val="left" w:pos="284"/>
          <w:tab w:val="left" w:pos="600"/>
        </w:tabs>
        <w:spacing w:after="120" w:line="312" w:lineRule="auto"/>
        <w:ind w:left="284" w:right="141"/>
        <w:jc w:val="both"/>
        <w:rPr>
          <w:rFonts w:ascii="Slimbach LT" w:hAnsi="Slimbach LT"/>
          <w:lang w:val="it-IT"/>
        </w:rPr>
      </w:pPr>
    </w:p>
    <w:p w:rsidR="00184570" w:rsidRPr="00184570" w:rsidRDefault="00184570" w:rsidP="00184570">
      <w:pPr>
        <w:tabs>
          <w:tab w:val="left" w:pos="284"/>
          <w:tab w:val="left" w:pos="600"/>
        </w:tabs>
        <w:spacing w:after="120" w:line="312" w:lineRule="auto"/>
        <w:ind w:left="284" w:right="141"/>
        <w:jc w:val="both"/>
        <w:rPr>
          <w:rFonts w:ascii="Slimbach LT" w:hAnsi="Slimbach LT" w:cs="Arial"/>
          <w:lang w:val="it-IT"/>
        </w:rPr>
      </w:pPr>
      <w:r w:rsidRPr="00184570">
        <w:rPr>
          <w:rFonts w:ascii="Slimbach LT" w:hAnsi="Slimbach LT" w:cs="Arial"/>
          <w:lang w:val="it-IT"/>
        </w:rPr>
        <w:lastRenderedPageBreak/>
        <w:t xml:space="preserve">L’edificio si presenta come un blocco unico interamente rivestito in Scandole PREFA nel colore Antracite P.10 che richiama </w:t>
      </w:r>
      <w:r w:rsidRPr="00184570">
        <w:rPr>
          <w:rFonts w:ascii="Slimbach LT" w:hAnsi="Slimbach LT" w:cs="Arial"/>
          <w:b/>
          <w:lang w:val="it-IT"/>
        </w:rPr>
        <w:t xml:space="preserve">nella forma e nel colore le grandi rocce alpine </w:t>
      </w:r>
      <w:r w:rsidRPr="00184570">
        <w:rPr>
          <w:rFonts w:ascii="Slimbach LT" w:hAnsi="Slimbach LT" w:cs="Arial"/>
          <w:lang w:val="it-IT"/>
        </w:rPr>
        <w:t>che si stagliano sullo sfondo del paesaggio.</w:t>
      </w:r>
    </w:p>
    <w:p w:rsidR="00184570" w:rsidRPr="00184570" w:rsidRDefault="00184570" w:rsidP="00184570">
      <w:pPr>
        <w:tabs>
          <w:tab w:val="left" w:pos="284"/>
          <w:tab w:val="left" w:pos="600"/>
        </w:tabs>
        <w:spacing w:after="120" w:line="312" w:lineRule="auto"/>
        <w:ind w:right="141"/>
        <w:jc w:val="both"/>
        <w:rPr>
          <w:rFonts w:ascii="Slimbach LT" w:hAnsi="Slimbach LT"/>
          <w:lang w:val="it-IT"/>
        </w:rPr>
      </w:pPr>
    </w:p>
    <w:p w:rsidR="00184570" w:rsidRPr="00184570" w:rsidRDefault="00184570" w:rsidP="00184570">
      <w:pPr>
        <w:spacing w:line="312" w:lineRule="auto"/>
        <w:ind w:left="284" w:right="141"/>
        <w:jc w:val="both"/>
        <w:rPr>
          <w:rFonts w:ascii="Slimbach LT" w:hAnsi="Slimbach LT" w:cs="Arial"/>
          <w:lang w:val="it-IT"/>
        </w:rPr>
      </w:pPr>
      <w:r w:rsidRPr="00184570">
        <w:rPr>
          <w:rFonts w:ascii="Slimbach LT" w:hAnsi="Slimbach LT" w:cs="Arial"/>
          <w:lang w:val="it-IT"/>
        </w:rPr>
        <w:t xml:space="preserve">La scelta delle </w:t>
      </w:r>
      <w:r w:rsidRPr="00184570">
        <w:rPr>
          <w:rFonts w:ascii="Slimbach LT" w:hAnsi="Slimbach LT" w:cs="Arial"/>
          <w:b/>
          <w:lang w:val="it-IT"/>
        </w:rPr>
        <w:t>Scandole PREFA</w:t>
      </w:r>
      <w:r w:rsidRPr="00184570">
        <w:rPr>
          <w:rFonts w:ascii="Slimbach LT" w:hAnsi="Slimbach LT" w:cs="Arial"/>
          <w:lang w:val="it-IT"/>
        </w:rPr>
        <w:t xml:space="preserve"> ha soddisfatto i requisiti della ricerca di un’architettura senza enfasi, armonica e duratura. La possibilità di utilizzare un unico materiale per facciate, copertura e smaltimento acque” dichiara Michael Darbellay “ci ha supportati alla perfezione nel nostro progetto”. La versatilità di impiego delle Scandole PREFA ha consentito infatti di realizzare un rivestimento continuo che avvolge l’edificio come una seconda pelle, assecondandone tutti i movimenti, seguendo sia la planarità delle facciate esterne che la varietà architettonica che disegna sapientemente i volumi delle varie parti dell’edificio, nella sua articolazione dei cortili interni e delle aperture, trovando conferma nel risultato finale di elevato pregio estetico. </w:t>
      </w:r>
    </w:p>
    <w:p w:rsidR="00184570" w:rsidRPr="00184570" w:rsidRDefault="00184570" w:rsidP="00184570">
      <w:pPr>
        <w:tabs>
          <w:tab w:val="left" w:pos="8520"/>
        </w:tabs>
        <w:autoSpaceDE w:val="0"/>
        <w:autoSpaceDN w:val="0"/>
        <w:adjustRightInd w:val="0"/>
        <w:spacing w:line="312" w:lineRule="auto"/>
        <w:ind w:left="284" w:right="-1"/>
        <w:jc w:val="both"/>
        <w:rPr>
          <w:rFonts w:ascii="Slimbach LT" w:hAnsi="Slimbach LT" w:cs="Arial"/>
          <w:lang w:val="it-IT" w:eastAsia="ko-KR"/>
        </w:rPr>
      </w:pPr>
      <w:r w:rsidRPr="00184570">
        <w:rPr>
          <w:rFonts w:ascii="Slimbach LT" w:hAnsi="Slimbach LT" w:cs="Arial"/>
          <w:lang w:val="it-IT" w:eastAsia="ko-KR"/>
        </w:rPr>
        <w:t xml:space="preserve"> </w:t>
      </w:r>
    </w:p>
    <w:p w:rsidR="00184570" w:rsidRDefault="00184570" w:rsidP="00184570">
      <w:pPr>
        <w:tabs>
          <w:tab w:val="left" w:pos="8520"/>
        </w:tabs>
        <w:autoSpaceDE w:val="0"/>
        <w:autoSpaceDN w:val="0"/>
        <w:adjustRightInd w:val="0"/>
        <w:spacing w:after="200" w:line="312" w:lineRule="auto"/>
        <w:ind w:left="284"/>
        <w:jc w:val="both"/>
        <w:rPr>
          <w:rFonts w:ascii="Slimbach LT" w:hAnsi="Slimbach LT" w:cs="Arial"/>
          <w:lang w:val="it-IT" w:eastAsia="ko-KR"/>
        </w:rPr>
      </w:pPr>
      <w:r w:rsidRPr="00184570">
        <w:rPr>
          <w:rFonts w:ascii="Slimbach LT" w:hAnsi="Slimbach LT" w:cs="Arial"/>
          <w:lang w:val="it-IT" w:eastAsia="ko-KR"/>
        </w:rPr>
        <w:t>Le Scandole, come tutti gli altri prodotti PREFA, si fanno apprezzare per la loro estrema leggerezza (soli 2,3 kg/m</w:t>
      </w:r>
      <w:r w:rsidRPr="00184570">
        <w:rPr>
          <w:rFonts w:ascii="Slimbach LT" w:hAnsi="Slimbach LT" w:cs="Arial"/>
          <w:vertAlign w:val="superscript"/>
          <w:lang w:val="it-IT" w:eastAsia="ko-KR"/>
        </w:rPr>
        <w:t>2</w:t>
      </w:r>
      <w:r w:rsidRPr="00184570">
        <w:rPr>
          <w:rFonts w:ascii="Slimbach LT" w:hAnsi="Slimbach LT" w:cs="Arial"/>
          <w:lang w:val="it-IT" w:eastAsia="ko-KR"/>
        </w:rPr>
        <w:t xml:space="preserve">) e al contempo l’elevata resistenza alla corrosione, all’azione degli agenti atmosferici, ai carichi di neve e alla forza del vento. Inoltre le Scandole PREFA sono garantite 40 anni contro rottura, ruggine e congelamento. </w:t>
      </w:r>
    </w:p>
    <w:p w:rsidR="00184570" w:rsidRPr="00184570" w:rsidRDefault="00184570" w:rsidP="00184570">
      <w:pPr>
        <w:tabs>
          <w:tab w:val="left" w:pos="8520"/>
        </w:tabs>
        <w:autoSpaceDE w:val="0"/>
        <w:autoSpaceDN w:val="0"/>
        <w:adjustRightInd w:val="0"/>
        <w:spacing w:after="200" w:line="312" w:lineRule="auto"/>
        <w:ind w:left="284"/>
        <w:jc w:val="both"/>
        <w:rPr>
          <w:rFonts w:ascii="Slimbach LT" w:hAnsi="Slimbach LT" w:cs="Arial"/>
          <w:lang w:val="it-IT" w:eastAsia="ko-KR"/>
        </w:rPr>
      </w:pPr>
    </w:p>
    <w:p w:rsidR="00184570" w:rsidRDefault="00184570" w:rsidP="00184570">
      <w:pPr>
        <w:tabs>
          <w:tab w:val="left" w:pos="8520"/>
        </w:tabs>
        <w:autoSpaceDE w:val="0"/>
        <w:autoSpaceDN w:val="0"/>
        <w:adjustRightInd w:val="0"/>
        <w:spacing w:after="200" w:line="312" w:lineRule="auto"/>
        <w:ind w:left="284"/>
        <w:jc w:val="both"/>
        <w:rPr>
          <w:rFonts w:ascii="Slimbach LT" w:hAnsi="Slimbach LT" w:cs="Arial"/>
          <w:lang w:val="it-IT" w:eastAsia="ko-KR"/>
        </w:rPr>
      </w:pPr>
      <w:r w:rsidRPr="00184570">
        <w:rPr>
          <w:rFonts w:ascii="Slimbach LT" w:hAnsi="Slimbach LT" w:cs="Arial"/>
          <w:lang w:val="it-IT" w:eastAsia="ko-KR"/>
        </w:rPr>
        <w:t>Le colorazioni P.10 come quella che è stata scelta per questa realizzazione si caratterizza per la superficie opaca altamente resistente, tale da permettere a PREFA di estendere la garanzia quarantennale del materiale anche sul colore. Con PREFA P.10 è stato sviluppato per la prima volta un processo di verniciatura ad effetto opaco resistente ai raggi UV e alle intemperie che lascia il colore inalterato. Tale tecnologia denominata Coil Coating è un processo di produzione industriale completamente automatizzato che assicura stabilità e uniformità del colore e dello spessore della vernice, brillantezza opacizzata e grado di adesione, oltre ad aumentarne il grado di protezione e resistenza ai graffi.</w:t>
      </w:r>
    </w:p>
    <w:p w:rsidR="00184570" w:rsidRPr="00184570" w:rsidRDefault="00184570" w:rsidP="00184570">
      <w:pPr>
        <w:tabs>
          <w:tab w:val="left" w:pos="8520"/>
        </w:tabs>
        <w:autoSpaceDE w:val="0"/>
        <w:autoSpaceDN w:val="0"/>
        <w:adjustRightInd w:val="0"/>
        <w:spacing w:after="200" w:line="312" w:lineRule="auto"/>
        <w:ind w:left="284"/>
        <w:jc w:val="both"/>
        <w:rPr>
          <w:rFonts w:ascii="Slimbach LT" w:hAnsi="Slimbach LT" w:cs="Arial"/>
          <w:lang w:val="it-IT" w:eastAsia="ko-KR"/>
        </w:rPr>
      </w:pPr>
    </w:p>
    <w:p w:rsidR="00184570" w:rsidRPr="00184570" w:rsidRDefault="00184570" w:rsidP="00184570">
      <w:pPr>
        <w:tabs>
          <w:tab w:val="left" w:pos="8520"/>
        </w:tabs>
        <w:autoSpaceDE w:val="0"/>
        <w:autoSpaceDN w:val="0"/>
        <w:adjustRightInd w:val="0"/>
        <w:ind w:left="284" w:right="-1"/>
        <w:jc w:val="both"/>
        <w:rPr>
          <w:rFonts w:ascii="Slimbach LT" w:hAnsi="Slimbach LT" w:cs="Arial"/>
          <w:sz w:val="20"/>
          <w:szCs w:val="20"/>
          <w:lang w:eastAsia="ko-KR"/>
        </w:rPr>
      </w:pPr>
      <w:r w:rsidRPr="00184570">
        <w:rPr>
          <w:rFonts w:ascii="Slimbach LT" w:hAnsi="Slimbach LT" w:cs="Arial"/>
          <w:sz w:val="20"/>
          <w:szCs w:val="20"/>
          <w:lang w:eastAsia="ko-KR"/>
        </w:rPr>
        <w:t>Fotocredit:</w:t>
      </w:r>
    </w:p>
    <w:p w:rsidR="00184570" w:rsidRDefault="00813291" w:rsidP="00184570">
      <w:pPr>
        <w:tabs>
          <w:tab w:val="left" w:pos="8520"/>
        </w:tabs>
        <w:autoSpaceDE w:val="0"/>
        <w:autoSpaceDN w:val="0"/>
        <w:adjustRightInd w:val="0"/>
        <w:ind w:left="284" w:right="-1"/>
        <w:jc w:val="both"/>
        <w:rPr>
          <w:rFonts w:ascii="Slimbach LT" w:hAnsi="Slimbach LT" w:cs="Arial"/>
          <w:sz w:val="20"/>
          <w:szCs w:val="20"/>
          <w:lang w:eastAsia="ko-KR"/>
        </w:rPr>
      </w:pPr>
      <w:r>
        <w:rPr>
          <w:rFonts w:ascii="Slimbach LT" w:hAnsi="Slimbach LT" w:cs="Arial"/>
          <w:sz w:val="20"/>
          <w:szCs w:val="20"/>
          <w:lang w:eastAsia="ko-KR"/>
        </w:rPr>
        <w:t>PREFA/Croce</w:t>
      </w:r>
    </w:p>
    <w:p w:rsidR="00184570" w:rsidRPr="00184570" w:rsidRDefault="00184570" w:rsidP="00184570">
      <w:pPr>
        <w:tabs>
          <w:tab w:val="left" w:pos="8520"/>
        </w:tabs>
        <w:autoSpaceDE w:val="0"/>
        <w:autoSpaceDN w:val="0"/>
        <w:adjustRightInd w:val="0"/>
        <w:ind w:left="284" w:right="-1"/>
        <w:jc w:val="both"/>
        <w:rPr>
          <w:rFonts w:ascii="Slimbach LT" w:hAnsi="Slimbach LT" w:cs="Arial"/>
          <w:sz w:val="20"/>
          <w:szCs w:val="20"/>
          <w:lang w:eastAsia="ko-KR"/>
        </w:rPr>
      </w:pPr>
    </w:p>
    <w:p w:rsidR="00184570" w:rsidRDefault="00184570" w:rsidP="00184570">
      <w:pPr>
        <w:tabs>
          <w:tab w:val="left" w:pos="8520"/>
        </w:tabs>
        <w:autoSpaceDE w:val="0"/>
        <w:autoSpaceDN w:val="0"/>
        <w:adjustRightInd w:val="0"/>
        <w:ind w:left="284" w:right="-1"/>
        <w:jc w:val="both"/>
        <w:rPr>
          <w:rFonts w:ascii="Arial" w:hAnsi="Arial" w:cs="Arial"/>
          <w:sz w:val="22"/>
          <w:szCs w:val="22"/>
          <w:lang w:val="it-IT" w:eastAsia="ko-KR"/>
        </w:rPr>
      </w:pPr>
    </w:p>
    <w:p w:rsidR="00184570" w:rsidRDefault="00184570" w:rsidP="00184570">
      <w:pPr>
        <w:tabs>
          <w:tab w:val="left" w:pos="8520"/>
        </w:tabs>
        <w:autoSpaceDE w:val="0"/>
        <w:autoSpaceDN w:val="0"/>
        <w:adjustRightInd w:val="0"/>
        <w:ind w:right="-1"/>
        <w:jc w:val="both"/>
        <w:rPr>
          <w:rFonts w:ascii="Arial" w:hAnsi="Arial" w:cs="Arial"/>
          <w:sz w:val="22"/>
          <w:szCs w:val="22"/>
          <w:lang w:val="it-IT" w:eastAsia="ko-KR"/>
        </w:rPr>
      </w:pP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b/>
          <w:sz w:val="22"/>
          <w:szCs w:val="22"/>
          <w:lang w:val="it-IT" w:eastAsia="ko-KR"/>
        </w:rPr>
      </w:pPr>
      <w:r w:rsidRPr="00184570">
        <w:rPr>
          <w:rFonts w:ascii="Slimbach LT" w:hAnsi="Slimbach LT" w:cs="Arial"/>
          <w:b/>
          <w:sz w:val="22"/>
          <w:szCs w:val="22"/>
          <w:lang w:val="it-IT" w:eastAsia="ko-KR"/>
        </w:rPr>
        <w:t>PREFA Italia Srl</w:t>
      </w: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it-IT" w:eastAsia="ko-KR"/>
        </w:rPr>
      </w:pPr>
      <w:r w:rsidRPr="00184570">
        <w:rPr>
          <w:rFonts w:ascii="Slimbach LT" w:hAnsi="Slimbach LT" w:cs="Arial"/>
          <w:sz w:val="22"/>
          <w:szCs w:val="22"/>
          <w:lang w:val="it-IT" w:eastAsia="ko-KR"/>
        </w:rPr>
        <w:t>Via Negrelli, 23 – 39100 BOLZANO</w:t>
      </w: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en-US" w:eastAsia="ko-KR"/>
        </w:rPr>
      </w:pPr>
      <w:r w:rsidRPr="00184570">
        <w:rPr>
          <w:rFonts w:ascii="Slimbach LT" w:hAnsi="Slimbach LT" w:cs="Arial"/>
          <w:sz w:val="22"/>
          <w:szCs w:val="22"/>
          <w:lang w:val="en-US" w:eastAsia="ko-KR"/>
        </w:rPr>
        <w:t>T. +39 0471 068680 - F: +39 0471 068690</w:t>
      </w: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en-US" w:eastAsia="ko-KR"/>
        </w:rPr>
      </w:pPr>
      <w:hyperlink r:id="rId8" w:history="1">
        <w:r w:rsidRPr="00184570">
          <w:rPr>
            <w:rFonts w:ascii="Slimbach LT" w:hAnsi="Slimbach LT" w:cs="Arial"/>
            <w:sz w:val="22"/>
            <w:szCs w:val="22"/>
            <w:lang w:val="en-US" w:eastAsia="ko-KR"/>
          </w:rPr>
          <w:t>office.it@prefa.com</w:t>
        </w:r>
      </w:hyperlink>
      <w:r w:rsidRPr="00184570">
        <w:rPr>
          <w:rFonts w:ascii="Slimbach LT" w:hAnsi="Slimbach LT" w:cs="Arial"/>
          <w:sz w:val="22"/>
          <w:szCs w:val="22"/>
          <w:lang w:val="en-US" w:eastAsia="ko-KR"/>
        </w:rPr>
        <w:t xml:space="preserve"> </w:t>
      </w: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en-US" w:eastAsia="ko-KR"/>
        </w:rPr>
      </w:pPr>
      <w:hyperlink r:id="rId9" w:history="1">
        <w:r w:rsidRPr="00184570">
          <w:rPr>
            <w:rFonts w:ascii="Slimbach LT" w:hAnsi="Slimbach LT" w:cs="Arial"/>
            <w:sz w:val="22"/>
            <w:szCs w:val="22"/>
            <w:lang w:val="en-US" w:eastAsia="ko-KR"/>
          </w:rPr>
          <w:t>www.prefa.com</w:t>
        </w:r>
      </w:hyperlink>
    </w:p>
    <w:p w:rsidR="00184570" w:rsidRPr="00184570" w:rsidRDefault="00184570" w:rsidP="00184570">
      <w:pPr>
        <w:tabs>
          <w:tab w:val="left" w:pos="8520"/>
        </w:tabs>
        <w:autoSpaceDE w:val="0"/>
        <w:autoSpaceDN w:val="0"/>
        <w:adjustRightInd w:val="0"/>
        <w:spacing w:line="276" w:lineRule="auto"/>
        <w:ind w:left="284" w:right="-1"/>
        <w:jc w:val="both"/>
        <w:rPr>
          <w:rFonts w:ascii="Slimbach LT" w:eastAsia="Calibri" w:hAnsi="Slimbach LT" w:cs="Arial"/>
          <w:b/>
          <w:i/>
          <w:sz w:val="22"/>
          <w:szCs w:val="22"/>
          <w:lang w:val="en-US" w:eastAsia="en-US"/>
        </w:rPr>
      </w:pPr>
    </w:p>
    <w:p w:rsidR="00184570" w:rsidRPr="00184570" w:rsidRDefault="00184570" w:rsidP="00184570">
      <w:pPr>
        <w:tabs>
          <w:tab w:val="left" w:pos="8520"/>
        </w:tabs>
        <w:autoSpaceDE w:val="0"/>
        <w:autoSpaceDN w:val="0"/>
        <w:adjustRightInd w:val="0"/>
        <w:spacing w:line="276" w:lineRule="auto"/>
        <w:ind w:left="284" w:right="-1"/>
        <w:jc w:val="both"/>
        <w:rPr>
          <w:rFonts w:ascii="Slimbach LT" w:eastAsia="Calibri" w:hAnsi="Slimbach LT" w:cs="Arial"/>
          <w:b/>
          <w:i/>
          <w:sz w:val="22"/>
          <w:szCs w:val="22"/>
          <w:lang w:val="en-US" w:eastAsia="en-US"/>
        </w:rPr>
      </w:pPr>
    </w:p>
    <w:p w:rsidR="00184570" w:rsidRPr="00184570" w:rsidRDefault="00184570" w:rsidP="00184570">
      <w:pPr>
        <w:tabs>
          <w:tab w:val="left" w:pos="8520"/>
        </w:tabs>
        <w:autoSpaceDE w:val="0"/>
        <w:autoSpaceDN w:val="0"/>
        <w:adjustRightInd w:val="0"/>
        <w:spacing w:line="276" w:lineRule="auto"/>
        <w:ind w:left="284" w:right="-1"/>
        <w:jc w:val="both"/>
        <w:rPr>
          <w:rFonts w:ascii="Slimbach LT" w:eastAsia="Calibri" w:hAnsi="Slimbach LT" w:cs="Arial"/>
          <w:sz w:val="22"/>
          <w:szCs w:val="22"/>
          <w:lang w:val="en-US" w:eastAsia="en-US"/>
        </w:rPr>
      </w:pPr>
      <w:r w:rsidRPr="00184570">
        <w:rPr>
          <w:rFonts w:ascii="Slimbach LT" w:eastAsia="Calibri" w:hAnsi="Slimbach LT" w:cs="Arial"/>
          <w:b/>
          <w:i/>
          <w:sz w:val="22"/>
          <w:szCs w:val="22"/>
          <w:lang w:val="en-US" w:eastAsia="en-US"/>
        </w:rPr>
        <w:t>Press Contact</w:t>
      </w:r>
      <w:r w:rsidRPr="00184570">
        <w:rPr>
          <w:rFonts w:ascii="Slimbach LT" w:eastAsia="Calibri" w:hAnsi="Slimbach LT" w:cs="Arial"/>
          <w:i/>
          <w:sz w:val="22"/>
          <w:szCs w:val="22"/>
          <w:lang w:val="en-US" w:eastAsia="en-US"/>
        </w:rPr>
        <w:t>:</w:t>
      </w:r>
      <w:r w:rsidRPr="00184570">
        <w:rPr>
          <w:rFonts w:ascii="Slimbach LT" w:eastAsia="Calibri" w:hAnsi="Slimbach LT" w:cs="Arial"/>
          <w:sz w:val="22"/>
          <w:szCs w:val="22"/>
          <w:lang w:val="en-US" w:eastAsia="en-US"/>
        </w:rPr>
        <w:t xml:space="preserve"> </w:t>
      </w: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it-IT" w:eastAsia="ko-KR"/>
        </w:rPr>
      </w:pPr>
      <w:r w:rsidRPr="00184570">
        <w:rPr>
          <w:rFonts w:ascii="Slimbach LT" w:hAnsi="Slimbach LT" w:cs="Arial"/>
          <w:b/>
          <w:color w:val="C00000"/>
          <w:sz w:val="22"/>
          <w:szCs w:val="22"/>
          <w:lang w:val="it-IT" w:eastAsia="ko-KR"/>
        </w:rPr>
        <w:t xml:space="preserve">DNART srl </w:t>
      </w:r>
      <w:r w:rsidRPr="00184570">
        <w:rPr>
          <w:rFonts w:ascii="Slimbach LT" w:hAnsi="Slimbach LT" w:cs="Arial"/>
          <w:sz w:val="22"/>
          <w:szCs w:val="22"/>
          <w:lang w:val="it-IT" w:eastAsia="ko-KR"/>
        </w:rPr>
        <w:t xml:space="preserve">– </w:t>
      </w:r>
      <w:r w:rsidRPr="00184570">
        <w:rPr>
          <w:rFonts w:ascii="Slimbach LT" w:hAnsi="Slimbach LT" w:cs="Arial"/>
          <w:b/>
          <w:sz w:val="22"/>
          <w:szCs w:val="22"/>
          <w:lang w:val="it-IT" w:eastAsia="ko-KR"/>
        </w:rPr>
        <w:t>Dott.ssa Chiara Consumi</w:t>
      </w: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b/>
          <w:sz w:val="22"/>
          <w:szCs w:val="22"/>
          <w:lang w:val="it-IT" w:eastAsia="ar-SA"/>
        </w:rPr>
      </w:pPr>
      <w:r w:rsidRPr="00184570">
        <w:rPr>
          <w:rFonts w:ascii="Slimbach LT" w:hAnsi="Slimbach LT" w:cs="Arial"/>
          <w:sz w:val="22"/>
          <w:szCs w:val="22"/>
          <w:lang w:val="it-IT" w:eastAsia="ko-KR"/>
        </w:rPr>
        <w:t>Via Mannelli 199 - 50132 FIRENZE</w:t>
      </w: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it-IT" w:eastAsia="ko-KR"/>
        </w:rPr>
      </w:pPr>
      <w:r w:rsidRPr="00184570">
        <w:rPr>
          <w:rFonts w:ascii="Slimbach LT" w:hAnsi="Slimbach LT" w:cs="Arial"/>
          <w:sz w:val="22"/>
          <w:szCs w:val="22"/>
          <w:lang w:val="it-IT" w:eastAsia="ko-KR"/>
        </w:rPr>
        <w:t xml:space="preserve">tel. +39 055 55 20 650 </w:t>
      </w: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color w:val="C00000"/>
          <w:sz w:val="22"/>
          <w:szCs w:val="22"/>
          <w:lang w:val="it-IT" w:eastAsia="ko-KR"/>
        </w:rPr>
      </w:pPr>
      <w:r w:rsidRPr="00184570">
        <w:rPr>
          <w:rFonts w:ascii="Slimbach LT" w:hAnsi="Slimbach LT" w:cs="Arial"/>
          <w:color w:val="3399FF"/>
          <w:sz w:val="22"/>
          <w:szCs w:val="22"/>
          <w:lang w:val="it-IT" w:eastAsia="ko-KR"/>
        </w:rPr>
        <w:t>ufficiostampa@dnartstudio.it</w:t>
      </w:r>
      <w:r w:rsidRPr="00184570">
        <w:rPr>
          <w:rFonts w:ascii="Slimbach LT" w:hAnsi="Slimbach LT" w:cs="Arial"/>
          <w:sz w:val="22"/>
          <w:szCs w:val="22"/>
          <w:lang w:val="it-IT" w:eastAsia="ko-KR"/>
        </w:rPr>
        <w:t xml:space="preserve"> - </w:t>
      </w:r>
      <w:r w:rsidRPr="00184570">
        <w:rPr>
          <w:rFonts w:ascii="Slimbach LT" w:hAnsi="Slimbach LT" w:cs="Arial"/>
          <w:color w:val="C00000"/>
          <w:sz w:val="22"/>
          <w:szCs w:val="22"/>
          <w:lang w:val="it-IT" w:eastAsia="ko-KR"/>
        </w:rPr>
        <w:t>www.dnartstudio.it</w:t>
      </w:r>
    </w:p>
    <w:p w:rsidR="00A70A11" w:rsidRPr="005C1974" w:rsidRDefault="00A70A11" w:rsidP="00BE63C5">
      <w:pPr>
        <w:pStyle w:val="StandardWeb"/>
        <w:spacing w:line="360" w:lineRule="auto"/>
        <w:rPr>
          <w:rFonts w:ascii="ITC Slimbach LT CE" w:hAnsi="ITC Slimbach LT CE"/>
          <w:lang w:val="it-IT"/>
        </w:rPr>
      </w:pPr>
    </w:p>
    <w:sectPr w:rsidR="00A70A11" w:rsidRPr="005C1974" w:rsidSect="00CC6F22">
      <w:headerReference w:type="default" r:id="rId10"/>
      <w:footerReference w:type="default" r:id="rId11"/>
      <w:type w:val="continuous"/>
      <w:pgSz w:w="11907" w:h="16840" w:code="9"/>
      <w:pgMar w:top="1140" w:right="1225" w:bottom="408" w:left="958" w:header="488" w:footer="198" w:gutter="0"/>
      <w:paperSrc w:first="15"/>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957" w:rsidRDefault="00976957">
      <w:r>
        <w:separator/>
      </w:r>
    </w:p>
  </w:endnote>
  <w:endnote w:type="continuationSeparator" w:id="0">
    <w:p w:rsidR="00976957" w:rsidRDefault="0097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limbach LT">
    <w:panose1 w:val="02000503060000020004"/>
    <w:charset w:val="00"/>
    <w:family w:val="auto"/>
    <w:pitch w:val="variable"/>
    <w:sig w:usb0="800000A7" w:usb1="00000040" w:usb2="00000000" w:usb3="00000000" w:csb0="00000009"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OT-CondBlack">
    <w:panose1 w:val="020B0A06020101010102"/>
    <w:charset w:val="00"/>
    <w:family w:val="swiss"/>
    <w:notTrueType/>
    <w:pitch w:val="variable"/>
    <w:sig w:usb0="800000AF" w:usb1="4000207B" w:usb2="00000000" w:usb3="00000000" w:csb0="00000001" w:csb1="00000000"/>
  </w:font>
  <w:font w:name="Tahoma">
    <w:panose1 w:val="020B0604030504040204"/>
    <w:charset w:val="00"/>
    <w:family w:val="swiss"/>
    <w:pitch w:val="variable"/>
    <w:sig w:usb0="E1002EFF" w:usb1="C000605B" w:usb2="00000029" w:usb3="00000000" w:csb0="000101FF" w:csb1="00000000"/>
  </w:font>
  <w:font w:name="AMKZC V+ DIN Cond">
    <w:altName w:val="DIN Cond"/>
    <w:panose1 w:val="00000000000000000000"/>
    <w:charset w:val="00"/>
    <w:family w:val="swiss"/>
    <w:notTrueType/>
    <w:pitch w:val="default"/>
    <w:sig w:usb0="00000003" w:usb1="00000000" w:usb2="00000000" w:usb3="00000000" w:csb0="00000001" w:csb1="00000000"/>
  </w:font>
  <w:font w:name="CCELE R+ DIN Cond">
    <w:altName w:val="DIN Cond"/>
    <w:panose1 w:val="00000000000000000000"/>
    <w:charset w:val="00"/>
    <w:family w:val="swiss"/>
    <w:notTrueType/>
    <w:pitch w:val="default"/>
    <w:sig w:usb0="00000003" w:usb1="00000000" w:usb2="00000000" w:usb3="00000000" w:csb0="00000001" w:csb1="00000000"/>
  </w:font>
  <w:font w:name="ITC Slimbach LT CE">
    <w:panose1 w:val="00000500000000000000"/>
    <w:charset w:val="EE"/>
    <w:family w:val="decorative"/>
    <w:notTrueType/>
    <w:pitch w:val="variable"/>
    <w:sig w:usb0="00000087" w:usb1="00000000"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9D" w:rsidRDefault="00DC269D" w:rsidP="00CC6F22">
    <w:pPr>
      <w:pStyle w:val="Fuzeile"/>
      <w:tabs>
        <w:tab w:val="left" w:pos="7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957" w:rsidRDefault="00976957">
      <w:r>
        <w:separator/>
      </w:r>
    </w:p>
  </w:footnote>
  <w:footnote w:type="continuationSeparator" w:id="0">
    <w:p w:rsidR="00976957" w:rsidRDefault="00976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22E" w:rsidRDefault="00DC269D" w:rsidP="00CC6F22">
    <w:pPr>
      <w:pStyle w:val="Kopfzeile"/>
      <w:tabs>
        <w:tab w:val="left" w:pos="200"/>
      </w:tabs>
      <w:ind w:left="-850"/>
    </w:pPr>
    <w:r>
      <w:t xml:space="preserve">               </w:t>
    </w:r>
    <w:r w:rsidR="00F049F1">
      <w:rPr>
        <w:noProof/>
        <w:lang w:val="de-DE" w:eastAsia="de-DE"/>
      </w:rPr>
      <w:drawing>
        <wp:inline distT="0" distB="0" distL="0" distR="0">
          <wp:extent cx="3099435" cy="866775"/>
          <wp:effectExtent l="0" t="0" r="571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943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A47E2"/>
    <w:multiLevelType w:val="hybridMultilevel"/>
    <w:tmpl w:val="3F9CA6F8"/>
    <w:lvl w:ilvl="0" w:tplc="C596B556">
      <w:numFmt w:val="bullet"/>
      <w:lvlText w:val="-"/>
      <w:lvlJc w:val="left"/>
      <w:pPr>
        <w:ind w:left="600" w:hanging="360"/>
      </w:pPr>
      <w:rPr>
        <w:rFonts w:ascii="Slimbach LT" w:eastAsia="Times New Roman" w:hAnsi="Slimbach LT" w:cs="Arial" w:hint="default"/>
      </w:rPr>
    </w:lvl>
    <w:lvl w:ilvl="1" w:tplc="04070003" w:tentative="1">
      <w:start w:val="1"/>
      <w:numFmt w:val="bullet"/>
      <w:lvlText w:val="o"/>
      <w:lvlJc w:val="left"/>
      <w:pPr>
        <w:ind w:left="1320" w:hanging="360"/>
      </w:pPr>
      <w:rPr>
        <w:rFonts w:ascii="Courier New" w:hAnsi="Courier New" w:cs="Courier New" w:hint="default"/>
      </w:rPr>
    </w:lvl>
    <w:lvl w:ilvl="2" w:tplc="04070005" w:tentative="1">
      <w:start w:val="1"/>
      <w:numFmt w:val="bullet"/>
      <w:lvlText w:val=""/>
      <w:lvlJc w:val="left"/>
      <w:pPr>
        <w:ind w:left="2040" w:hanging="360"/>
      </w:pPr>
      <w:rPr>
        <w:rFonts w:ascii="Wingdings" w:hAnsi="Wingdings" w:hint="default"/>
      </w:rPr>
    </w:lvl>
    <w:lvl w:ilvl="3" w:tplc="04070001" w:tentative="1">
      <w:start w:val="1"/>
      <w:numFmt w:val="bullet"/>
      <w:lvlText w:val=""/>
      <w:lvlJc w:val="left"/>
      <w:pPr>
        <w:ind w:left="2760" w:hanging="360"/>
      </w:pPr>
      <w:rPr>
        <w:rFonts w:ascii="Symbol" w:hAnsi="Symbol" w:hint="default"/>
      </w:rPr>
    </w:lvl>
    <w:lvl w:ilvl="4" w:tplc="04070003" w:tentative="1">
      <w:start w:val="1"/>
      <w:numFmt w:val="bullet"/>
      <w:lvlText w:val="o"/>
      <w:lvlJc w:val="left"/>
      <w:pPr>
        <w:ind w:left="3480" w:hanging="360"/>
      </w:pPr>
      <w:rPr>
        <w:rFonts w:ascii="Courier New" w:hAnsi="Courier New" w:cs="Courier New" w:hint="default"/>
      </w:rPr>
    </w:lvl>
    <w:lvl w:ilvl="5" w:tplc="04070005" w:tentative="1">
      <w:start w:val="1"/>
      <w:numFmt w:val="bullet"/>
      <w:lvlText w:val=""/>
      <w:lvlJc w:val="left"/>
      <w:pPr>
        <w:ind w:left="4200" w:hanging="360"/>
      </w:pPr>
      <w:rPr>
        <w:rFonts w:ascii="Wingdings" w:hAnsi="Wingdings" w:hint="default"/>
      </w:rPr>
    </w:lvl>
    <w:lvl w:ilvl="6" w:tplc="04070001" w:tentative="1">
      <w:start w:val="1"/>
      <w:numFmt w:val="bullet"/>
      <w:lvlText w:val=""/>
      <w:lvlJc w:val="left"/>
      <w:pPr>
        <w:ind w:left="4920" w:hanging="360"/>
      </w:pPr>
      <w:rPr>
        <w:rFonts w:ascii="Symbol" w:hAnsi="Symbol" w:hint="default"/>
      </w:rPr>
    </w:lvl>
    <w:lvl w:ilvl="7" w:tplc="04070003" w:tentative="1">
      <w:start w:val="1"/>
      <w:numFmt w:val="bullet"/>
      <w:lvlText w:val="o"/>
      <w:lvlJc w:val="left"/>
      <w:pPr>
        <w:ind w:left="5640" w:hanging="360"/>
      </w:pPr>
      <w:rPr>
        <w:rFonts w:ascii="Courier New" w:hAnsi="Courier New" w:cs="Courier New" w:hint="default"/>
      </w:rPr>
    </w:lvl>
    <w:lvl w:ilvl="8" w:tplc="04070005" w:tentative="1">
      <w:start w:val="1"/>
      <w:numFmt w:val="bullet"/>
      <w:lvlText w:val=""/>
      <w:lvlJc w:val="left"/>
      <w:pPr>
        <w:ind w:left="6360" w:hanging="360"/>
      </w:pPr>
      <w:rPr>
        <w:rFonts w:ascii="Wingdings" w:hAnsi="Wingdings" w:hint="default"/>
      </w:rPr>
    </w:lvl>
  </w:abstractNum>
  <w:abstractNum w:abstractNumId="1" w15:restartNumberingAfterBreak="0">
    <w:nsid w:val="3E725BDE"/>
    <w:multiLevelType w:val="hybridMultilevel"/>
    <w:tmpl w:val="32B222E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470E2C40"/>
    <w:multiLevelType w:val="hybridMultilevel"/>
    <w:tmpl w:val="93F0F1DA"/>
    <w:lvl w:ilvl="0" w:tplc="181674C8">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A6"/>
    <w:rsid w:val="00084E54"/>
    <w:rsid w:val="001435DA"/>
    <w:rsid w:val="00144B4D"/>
    <w:rsid w:val="001565A4"/>
    <w:rsid w:val="00156BED"/>
    <w:rsid w:val="00177374"/>
    <w:rsid w:val="00184570"/>
    <w:rsid w:val="00210154"/>
    <w:rsid w:val="002507FC"/>
    <w:rsid w:val="00250A54"/>
    <w:rsid w:val="00272433"/>
    <w:rsid w:val="002B0CDC"/>
    <w:rsid w:val="002F689F"/>
    <w:rsid w:val="0031355A"/>
    <w:rsid w:val="00326246"/>
    <w:rsid w:val="00331837"/>
    <w:rsid w:val="00376818"/>
    <w:rsid w:val="00384463"/>
    <w:rsid w:val="003850A1"/>
    <w:rsid w:val="00433BCD"/>
    <w:rsid w:val="00477828"/>
    <w:rsid w:val="00491B57"/>
    <w:rsid w:val="004D254B"/>
    <w:rsid w:val="004F1CC3"/>
    <w:rsid w:val="005207FC"/>
    <w:rsid w:val="005560C7"/>
    <w:rsid w:val="005C1974"/>
    <w:rsid w:val="005D270A"/>
    <w:rsid w:val="00623AB7"/>
    <w:rsid w:val="006559F9"/>
    <w:rsid w:val="007022A8"/>
    <w:rsid w:val="007818E6"/>
    <w:rsid w:val="007E133B"/>
    <w:rsid w:val="007F4972"/>
    <w:rsid w:val="00813291"/>
    <w:rsid w:val="008D07ED"/>
    <w:rsid w:val="009031BB"/>
    <w:rsid w:val="009275A6"/>
    <w:rsid w:val="00935690"/>
    <w:rsid w:val="00976957"/>
    <w:rsid w:val="00A70A11"/>
    <w:rsid w:val="00AD3BB8"/>
    <w:rsid w:val="00BA7F39"/>
    <w:rsid w:val="00BB06EC"/>
    <w:rsid w:val="00BE63C5"/>
    <w:rsid w:val="00C03C5F"/>
    <w:rsid w:val="00C17435"/>
    <w:rsid w:val="00C450AA"/>
    <w:rsid w:val="00C931E9"/>
    <w:rsid w:val="00CC69C5"/>
    <w:rsid w:val="00CC6F22"/>
    <w:rsid w:val="00CD1CFD"/>
    <w:rsid w:val="00CE1043"/>
    <w:rsid w:val="00D44FF8"/>
    <w:rsid w:val="00D54357"/>
    <w:rsid w:val="00D85829"/>
    <w:rsid w:val="00DA59A6"/>
    <w:rsid w:val="00DC269D"/>
    <w:rsid w:val="00E02A31"/>
    <w:rsid w:val="00E773B0"/>
    <w:rsid w:val="00EE39A3"/>
    <w:rsid w:val="00F049F1"/>
    <w:rsid w:val="00F40A56"/>
    <w:rsid w:val="00F61D66"/>
    <w:rsid w:val="00FC222E"/>
    <w:rsid w:val="00FF4C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7424CDF-6A66-4E42-9BD9-25566C36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600"/>
      </w:tabs>
      <w:ind w:left="240"/>
      <w:jc w:val="both"/>
      <w:outlineLvl w:val="0"/>
    </w:pPr>
    <w:rPr>
      <w:rFonts w:ascii="DINOT-CondBlack" w:hAnsi="DINOT-CondBlack" w:cs="Arial"/>
      <w:b/>
      <w:sz w:val="22"/>
      <w:szCs w:val="22"/>
      <w:lang w:val="fr-FR" w:eastAsia="it-I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rPr>
      <w:lang w:val="it-IT" w:eastAsia="it-IT"/>
    </w:rPr>
  </w:style>
  <w:style w:type="paragraph" w:styleId="Fuzeile">
    <w:name w:val="footer"/>
    <w:basedOn w:val="Standard"/>
    <w:pPr>
      <w:tabs>
        <w:tab w:val="center" w:pos="4536"/>
        <w:tab w:val="right" w:pos="9072"/>
      </w:tabs>
    </w:pPr>
    <w:rPr>
      <w:lang w:val="it-IT" w:eastAsia="it-IT"/>
    </w:rPr>
  </w:style>
  <w:style w:type="character" w:styleId="Hyperlink">
    <w:name w:val="Hyperlink"/>
    <w:rPr>
      <w:color w:val="0000FF"/>
      <w:u w:val="single"/>
    </w:rPr>
  </w:style>
  <w:style w:type="paragraph" w:styleId="Textkrper">
    <w:name w:val="Body Text"/>
    <w:basedOn w:val="Standard"/>
    <w:pPr>
      <w:ind w:right="98"/>
      <w:jc w:val="both"/>
    </w:pPr>
    <w:rPr>
      <w:rFonts w:ascii="Arial" w:hAnsi="Arial"/>
      <w:szCs w:val="20"/>
      <w:lang w:val="it-IT" w:eastAsia="it-IT"/>
    </w:rPr>
  </w:style>
  <w:style w:type="paragraph" w:styleId="Sprechblasentext">
    <w:name w:val="Balloon Text"/>
    <w:basedOn w:val="Standard"/>
    <w:link w:val="SprechblasentextZchn"/>
    <w:rsid w:val="00250A54"/>
    <w:rPr>
      <w:rFonts w:ascii="Tahoma" w:hAnsi="Tahoma"/>
      <w:sz w:val="16"/>
      <w:szCs w:val="16"/>
    </w:rPr>
  </w:style>
  <w:style w:type="character" w:customStyle="1" w:styleId="SprechblasentextZchn">
    <w:name w:val="Sprechblasentext Zchn"/>
    <w:link w:val="Sprechblasentext"/>
    <w:rsid w:val="00250A54"/>
    <w:rPr>
      <w:rFonts w:ascii="Tahoma" w:hAnsi="Tahoma" w:cs="Tahoma"/>
      <w:sz w:val="16"/>
      <w:szCs w:val="16"/>
      <w:lang w:val="de-DE" w:eastAsia="de-DE"/>
    </w:rPr>
  </w:style>
  <w:style w:type="paragraph" w:styleId="Listenabsatz">
    <w:name w:val="List Paragraph"/>
    <w:basedOn w:val="Standard"/>
    <w:uiPriority w:val="34"/>
    <w:qFormat/>
    <w:rsid w:val="00F40A56"/>
    <w:pPr>
      <w:ind w:left="720"/>
    </w:pPr>
    <w:rPr>
      <w:rFonts w:ascii="Calibri" w:eastAsia="Calibri" w:hAnsi="Calibri" w:cs="Calibri"/>
      <w:sz w:val="22"/>
      <w:szCs w:val="22"/>
      <w:lang w:val="it-IT" w:eastAsia="it-IT"/>
    </w:rPr>
  </w:style>
  <w:style w:type="paragraph" w:styleId="StandardWeb">
    <w:name w:val="Normal (Web)"/>
    <w:basedOn w:val="Standard"/>
    <w:uiPriority w:val="99"/>
    <w:unhideWhenUsed/>
    <w:rsid w:val="00E773B0"/>
    <w:pPr>
      <w:spacing w:before="100" w:beforeAutospacing="1" w:after="100" w:afterAutospacing="1"/>
    </w:pPr>
  </w:style>
  <w:style w:type="character" w:styleId="Fett">
    <w:name w:val="Strong"/>
    <w:uiPriority w:val="22"/>
    <w:qFormat/>
    <w:rsid w:val="00E773B0"/>
    <w:rPr>
      <w:b/>
      <w:bCs/>
    </w:rPr>
  </w:style>
  <w:style w:type="character" w:styleId="Hervorhebung">
    <w:name w:val="Emphasis"/>
    <w:uiPriority w:val="20"/>
    <w:qFormat/>
    <w:rsid w:val="00CD1CFD"/>
    <w:rPr>
      <w:i/>
      <w:iCs/>
    </w:rPr>
  </w:style>
  <w:style w:type="paragraph" w:customStyle="1" w:styleId="KeinLeerraum1">
    <w:name w:val="Kein Leerraum1"/>
    <w:rsid w:val="005560C7"/>
    <w:rPr>
      <w:rFonts w:ascii="Calibri" w:hAnsi="Calibri"/>
      <w:sz w:val="22"/>
      <w:szCs w:val="22"/>
      <w:lang w:val="en-US" w:eastAsia="en-US"/>
    </w:rPr>
  </w:style>
  <w:style w:type="paragraph" w:customStyle="1" w:styleId="Pa4">
    <w:name w:val="Pa4"/>
    <w:basedOn w:val="Standard"/>
    <w:next w:val="Standard"/>
    <w:uiPriority w:val="99"/>
    <w:rsid w:val="00184570"/>
    <w:pPr>
      <w:autoSpaceDE w:val="0"/>
      <w:autoSpaceDN w:val="0"/>
      <w:adjustRightInd w:val="0"/>
      <w:spacing w:line="241" w:lineRule="atLeast"/>
    </w:pPr>
    <w:rPr>
      <w:rFonts w:ascii="AMKZC V+ DIN Cond" w:hAnsi="AMKZC V+ DIN Cond"/>
      <w:lang w:val="it-IT" w:eastAsia="it-IT"/>
    </w:rPr>
  </w:style>
  <w:style w:type="paragraph" w:customStyle="1" w:styleId="Default">
    <w:name w:val="Default"/>
    <w:rsid w:val="00184570"/>
    <w:pPr>
      <w:autoSpaceDE w:val="0"/>
      <w:autoSpaceDN w:val="0"/>
      <w:adjustRightInd w:val="0"/>
    </w:pPr>
    <w:rPr>
      <w:rFonts w:ascii="Slimbach LT" w:hAnsi="Slimbach LT" w:cs="Slimbach LT"/>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472">
      <w:bodyDiv w:val="1"/>
      <w:marLeft w:val="0"/>
      <w:marRight w:val="0"/>
      <w:marTop w:val="0"/>
      <w:marBottom w:val="0"/>
      <w:divBdr>
        <w:top w:val="none" w:sz="0" w:space="0" w:color="auto"/>
        <w:left w:val="none" w:sz="0" w:space="0" w:color="auto"/>
        <w:bottom w:val="none" w:sz="0" w:space="0" w:color="auto"/>
        <w:right w:val="none" w:sz="0" w:space="0" w:color="auto"/>
      </w:divBdr>
    </w:div>
    <w:div w:id="28996693">
      <w:bodyDiv w:val="1"/>
      <w:marLeft w:val="0"/>
      <w:marRight w:val="0"/>
      <w:marTop w:val="0"/>
      <w:marBottom w:val="0"/>
      <w:divBdr>
        <w:top w:val="none" w:sz="0" w:space="0" w:color="auto"/>
        <w:left w:val="none" w:sz="0" w:space="0" w:color="auto"/>
        <w:bottom w:val="none" w:sz="0" w:space="0" w:color="auto"/>
        <w:right w:val="none" w:sz="0" w:space="0" w:color="auto"/>
      </w:divBdr>
    </w:div>
    <w:div w:id="70352333">
      <w:bodyDiv w:val="1"/>
      <w:marLeft w:val="0"/>
      <w:marRight w:val="0"/>
      <w:marTop w:val="0"/>
      <w:marBottom w:val="0"/>
      <w:divBdr>
        <w:top w:val="none" w:sz="0" w:space="0" w:color="auto"/>
        <w:left w:val="none" w:sz="0" w:space="0" w:color="auto"/>
        <w:bottom w:val="none" w:sz="0" w:space="0" w:color="auto"/>
        <w:right w:val="none" w:sz="0" w:space="0" w:color="auto"/>
      </w:divBdr>
    </w:div>
    <w:div w:id="89199921">
      <w:bodyDiv w:val="1"/>
      <w:marLeft w:val="0"/>
      <w:marRight w:val="0"/>
      <w:marTop w:val="0"/>
      <w:marBottom w:val="0"/>
      <w:divBdr>
        <w:top w:val="none" w:sz="0" w:space="0" w:color="auto"/>
        <w:left w:val="none" w:sz="0" w:space="0" w:color="auto"/>
        <w:bottom w:val="none" w:sz="0" w:space="0" w:color="auto"/>
        <w:right w:val="none" w:sz="0" w:space="0" w:color="auto"/>
      </w:divBdr>
    </w:div>
    <w:div w:id="123154988">
      <w:bodyDiv w:val="1"/>
      <w:marLeft w:val="0"/>
      <w:marRight w:val="0"/>
      <w:marTop w:val="0"/>
      <w:marBottom w:val="0"/>
      <w:divBdr>
        <w:top w:val="none" w:sz="0" w:space="0" w:color="auto"/>
        <w:left w:val="none" w:sz="0" w:space="0" w:color="auto"/>
        <w:bottom w:val="none" w:sz="0" w:space="0" w:color="auto"/>
        <w:right w:val="none" w:sz="0" w:space="0" w:color="auto"/>
      </w:divBdr>
    </w:div>
    <w:div w:id="856038530">
      <w:bodyDiv w:val="1"/>
      <w:marLeft w:val="0"/>
      <w:marRight w:val="0"/>
      <w:marTop w:val="0"/>
      <w:marBottom w:val="0"/>
      <w:divBdr>
        <w:top w:val="none" w:sz="0" w:space="0" w:color="auto"/>
        <w:left w:val="none" w:sz="0" w:space="0" w:color="auto"/>
        <w:bottom w:val="none" w:sz="0" w:space="0" w:color="auto"/>
        <w:right w:val="none" w:sz="0" w:space="0" w:color="auto"/>
      </w:divBdr>
    </w:div>
    <w:div w:id="1199397664">
      <w:bodyDiv w:val="1"/>
      <w:marLeft w:val="0"/>
      <w:marRight w:val="0"/>
      <w:marTop w:val="0"/>
      <w:marBottom w:val="0"/>
      <w:divBdr>
        <w:top w:val="none" w:sz="0" w:space="0" w:color="auto"/>
        <w:left w:val="none" w:sz="0" w:space="0" w:color="auto"/>
        <w:bottom w:val="none" w:sz="0" w:space="0" w:color="auto"/>
        <w:right w:val="none" w:sz="0" w:space="0" w:color="auto"/>
      </w:divBdr>
    </w:div>
    <w:div w:id="1384209109">
      <w:bodyDiv w:val="1"/>
      <w:marLeft w:val="0"/>
      <w:marRight w:val="0"/>
      <w:marTop w:val="0"/>
      <w:marBottom w:val="0"/>
      <w:divBdr>
        <w:top w:val="none" w:sz="0" w:space="0" w:color="auto"/>
        <w:left w:val="none" w:sz="0" w:space="0" w:color="auto"/>
        <w:bottom w:val="none" w:sz="0" w:space="0" w:color="auto"/>
        <w:right w:val="none" w:sz="0" w:space="0" w:color="auto"/>
      </w:divBdr>
    </w:div>
    <w:div w:id="1385716433">
      <w:bodyDiv w:val="1"/>
      <w:marLeft w:val="0"/>
      <w:marRight w:val="0"/>
      <w:marTop w:val="0"/>
      <w:marBottom w:val="0"/>
      <w:divBdr>
        <w:top w:val="none" w:sz="0" w:space="0" w:color="auto"/>
        <w:left w:val="none" w:sz="0" w:space="0" w:color="auto"/>
        <w:bottom w:val="none" w:sz="0" w:space="0" w:color="auto"/>
        <w:right w:val="none" w:sz="0" w:space="0" w:color="auto"/>
      </w:divBdr>
    </w:div>
    <w:div w:id="1415855748">
      <w:bodyDiv w:val="1"/>
      <w:marLeft w:val="0"/>
      <w:marRight w:val="0"/>
      <w:marTop w:val="0"/>
      <w:marBottom w:val="0"/>
      <w:divBdr>
        <w:top w:val="none" w:sz="0" w:space="0" w:color="auto"/>
        <w:left w:val="none" w:sz="0" w:space="0" w:color="auto"/>
        <w:bottom w:val="none" w:sz="0" w:space="0" w:color="auto"/>
        <w:right w:val="none" w:sz="0" w:space="0" w:color="auto"/>
      </w:divBdr>
      <w:divsChild>
        <w:div w:id="1011880279">
          <w:marLeft w:val="0"/>
          <w:marRight w:val="0"/>
          <w:marTop w:val="0"/>
          <w:marBottom w:val="0"/>
          <w:divBdr>
            <w:top w:val="none" w:sz="0" w:space="0" w:color="auto"/>
            <w:left w:val="none" w:sz="0" w:space="0" w:color="auto"/>
            <w:bottom w:val="none" w:sz="0" w:space="0" w:color="auto"/>
            <w:right w:val="none" w:sz="0" w:space="0" w:color="auto"/>
          </w:divBdr>
          <w:divsChild>
            <w:div w:id="101416910">
              <w:marLeft w:val="0"/>
              <w:marRight w:val="0"/>
              <w:marTop w:val="0"/>
              <w:marBottom w:val="0"/>
              <w:divBdr>
                <w:top w:val="none" w:sz="0" w:space="0" w:color="auto"/>
                <w:left w:val="none" w:sz="0" w:space="0" w:color="auto"/>
                <w:bottom w:val="none" w:sz="0" w:space="0" w:color="auto"/>
                <w:right w:val="none" w:sz="0" w:space="0" w:color="auto"/>
              </w:divBdr>
              <w:divsChild>
                <w:div w:id="170880481">
                  <w:marLeft w:val="0"/>
                  <w:marRight w:val="0"/>
                  <w:marTop w:val="0"/>
                  <w:marBottom w:val="0"/>
                  <w:divBdr>
                    <w:top w:val="none" w:sz="0" w:space="0" w:color="auto"/>
                    <w:left w:val="none" w:sz="0" w:space="0" w:color="auto"/>
                    <w:bottom w:val="none" w:sz="0" w:space="0" w:color="auto"/>
                    <w:right w:val="none" w:sz="0" w:space="0" w:color="auto"/>
                  </w:divBdr>
                  <w:divsChild>
                    <w:div w:id="1118986734">
                      <w:marLeft w:val="0"/>
                      <w:marRight w:val="0"/>
                      <w:marTop w:val="0"/>
                      <w:marBottom w:val="0"/>
                      <w:divBdr>
                        <w:top w:val="none" w:sz="0" w:space="0" w:color="auto"/>
                        <w:left w:val="none" w:sz="0" w:space="0" w:color="auto"/>
                        <w:bottom w:val="none" w:sz="0" w:space="0" w:color="auto"/>
                        <w:right w:val="none" w:sz="0" w:space="0" w:color="auto"/>
                      </w:divBdr>
                      <w:divsChild>
                        <w:div w:id="524826633">
                          <w:marLeft w:val="0"/>
                          <w:marRight w:val="0"/>
                          <w:marTop w:val="0"/>
                          <w:marBottom w:val="0"/>
                          <w:divBdr>
                            <w:top w:val="none" w:sz="0" w:space="0" w:color="auto"/>
                            <w:left w:val="none" w:sz="0" w:space="0" w:color="auto"/>
                            <w:bottom w:val="none" w:sz="0" w:space="0" w:color="auto"/>
                            <w:right w:val="none" w:sz="0" w:space="0" w:color="auto"/>
                          </w:divBdr>
                          <w:divsChild>
                            <w:div w:id="693188593">
                              <w:marLeft w:val="0"/>
                              <w:marRight w:val="0"/>
                              <w:marTop w:val="0"/>
                              <w:marBottom w:val="0"/>
                              <w:divBdr>
                                <w:top w:val="none" w:sz="0" w:space="0" w:color="auto"/>
                                <w:left w:val="none" w:sz="0" w:space="0" w:color="auto"/>
                                <w:bottom w:val="none" w:sz="0" w:space="0" w:color="auto"/>
                                <w:right w:val="none" w:sz="0" w:space="0" w:color="auto"/>
                              </w:divBdr>
                              <w:divsChild>
                                <w:div w:id="5999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8682">
                          <w:marLeft w:val="0"/>
                          <w:marRight w:val="0"/>
                          <w:marTop w:val="0"/>
                          <w:marBottom w:val="0"/>
                          <w:divBdr>
                            <w:top w:val="none" w:sz="0" w:space="0" w:color="auto"/>
                            <w:left w:val="none" w:sz="0" w:space="0" w:color="auto"/>
                            <w:bottom w:val="none" w:sz="0" w:space="0" w:color="auto"/>
                            <w:right w:val="none" w:sz="0" w:space="0" w:color="auto"/>
                          </w:divBdr>
                          <w:divsChild>
                            <w:div w:id="777990196">
                              <w:marLeft w:val="0"/>
                              <w:marRight w:val="0"/>
                              <w:marTop w:val="0"/>
                              <w:marBottom w:val="0"/>
                              <w:divBdr>
                                <w:top w:val="none" w:sz="0" w:space="0" w:color="auto"/>
                                <w:left w:val="none" w:sz="0" w:space="0" w:color="auto"/>
                                <w:bottom w:val="none" w:sz="0" w:space="0" w:color="auto"/>
                                <w:right w:val="none" w:sz="0" w:space="0" w:color="auto"/>
                              </w:divBdr>
                              <w:divsChild>
                                <w:div w:id="12986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511238">
      <w:bodyDiv w:val="1"/>
      <w:marLeft w:val="0"/>
      <w:marRight w:val="0"/>
      <w:marTop w:val="0"/>
      <w:marBottom w:val="0"/>
      <w:divBdr>
        <w:top w:val="none" w:sz="0" w:space="0" w:color="auto"/>
        <w:left w:val="none" w:sz="0" w:space="0" w:color="auto"/>
        <w:bottom w:val="none" w:sz="0" w:space="0" w:color="auto"/>
        <w:right w:val="none" w:sz="0" w:space="0" w:color="auto"/>
      </w:divBdr>
    </w:div>
    <w:div w:id="191361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ffice.it@pref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f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46190-34E1-4176-BB14-B0E0929F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3687</Characters>
  <Application>Microsoft Office Word</Application>
  <DocSecurity>0</DocSecurity>
  <Lines>30</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Bolzano, giovedì 7 ottobre 2010</vt:lpstr>
      <vt:lpstr>Bolzano, giovedì 7 ottobre 2010</vt:lpstr>
    </vt:vector>
  </TitlesOfParts>
  <Company>alpewa</Company>
  <LinksUpToDate>false</LinksUpToDate>
  <CharactersWithSpaces>4264</CharactersWithSpaces>
  <SharedDoc>false</SharedDoc>
  <HLinks>
    <vt:vector size="12" baseType="variant">
      <vt:variant>
        <vt:i4>5308421</vt:i4>
      </vt:variant>
      <vt:variant>
        <vt:i4>3</vt:i4>
      </vt:variant>
      <vt:variant>
        <vt:i4>0</vt:i4>
      </vt:variant>
      <vt:variant>
        <vt:i4>5</vt:i4>
      </vt:variant>
      <vt:variant>
        <vt:lpwstr>http://www.prefa.com/</vt:lpwstr>
      </vt:variant>
      <vt:variant>
        <vt:lpwstr/>
      </vt:variant>
      <vt:variant>
        <vt:i4>2621532</vt:i4>
      </vt:variant>
      <vt:variant>
        <vt:i4>0</vt:i4>
      </vt:variant>
      <vt:variant>
        <vt:i4>0</vt:i4>
      </vt:variant>
      <vt:variant>
        <vt:i4>5</vt:i4>
      </vt:variant>
      <vt:variant>
        <vt:lpwstr>mailto:office.it@prefa.com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Bolzano, giovedì 7 ottobre 2010</dc:title>
  <dc:subject/>
  <dc:creator>carcione</dc:creator>
  <cp:keywords/>
  <cp:lastModifiedBy>Rappel Julia</cp:lastModifiedBy>
  <cp:revision>2</cp:revision>
  <cp:lastPrinted>2015-07-02T13:40:00Z</cp:lastPrinted>
  <dcterms:created xsi:type="dcterms:W3CDTF">2016-06-24T05:21:00Z</dcterms:created>
  <dcterms:modified xsi:type="dcterms:W3CDTF">2016-06-24T05:21:00Z</dcterms:modified>
</cp:coreProperties>
</file>