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70" w:rsidRPr="0023662B" w:rsidRDefault="00184570" w:rsidP="00184570">
      <w:pPr>
        <w:tabs>
          <w:tab w:val="left" w:pos="284"/>
        </w:tabs>
        <w:ind w:left="284" w:right="141"/>
        <w:rPr>
          <w:rFonts w:ascii="Slimbach LT" w:hAnsi="Slimbach LT" w:cs="Arial"/>
          <w:b/>
          <w:sz w:val="28"/>
          <w:szCs w:val="28"/>
          <w:lang w:val="it-IT"/>
        </w:rPr>
      </w:pPr>
      <w:bookmarkStart w:id="0" w:name="_GoBack"/>
      <w:bookmarkEnd w:id="0"/>
    </w:p>
    <w:p w:rsidR="00184570" w:rsidRPr="0023662B" w:rsidRDefault="00184570" w:rsidP="00184570">
      <w:pPr>
        <w:pStyle w:val="Default"/>
      </w:pPr>
    </w:p>
    <w:p w:rsidR="00184570" w:rsidRPr="0023662B" w:rsidRDefault="00184570" w:rsidP="00184570">
      <w:pPr>
        <w:pStyle w:val="Default"/>
      </w:pPr>
      <w:r w:rsidRPr="0023662B">
        <w:t xml:space="preserve"> </w:t>
      </w:r>
    </w:p>
    <w:p w:rsidR="00ED776B" w:rsidRDefault="0023662B" w:rsidP="0023662B">
      <w:pPr>
        <w:pStyle w:val="Default"/>
        <w:rPr>
          <w:rFonts w:cs="Arial"/>
          <w:b/>
          <w:sz w:val="28"/>
          <w:szCs w:val="28"/>
        </w:rPr>
      </w:pPr>
      <w:r>
        <w:rPr>
          <w:b/>
          <w:bCs/>
          <w:sz w:val="28"/>
          <w:szCs w:val="28"/>
        </w:rPr>
        <w:t>PREFArenzen/</w:t>
      </w:r>
      <w:r>
        <w:rPr>
          <w:sz w:val="28"/>
          <w:szCs w:val="28"/>
        </w:rPr>
        <w:t>Case History</w:t>
      </w:r>
      <w:r>
        <w:rPr>
          <w:b/>
          <w:bCs/>
          <w:sz w:val="28"/>
          <w:szCs w:val="28"/>
        </w:rPr>
        <w:t xml:space="preserve">, </w:t>
      </w:r>
      <w:r w:rsidR="005D168B">
        <w:rPr>
          <w:b/>
          <w:bCs/>
          <w:sz w:val="28"/>
          <w:szCs w:val="28"/>
        </w:rPr>
        <w:t>settembre</w:t>
      </w:r>
      <w:r>
        <w:rPr>
          <w:b/>
          <w:bCs/>
          <w:sz w:val="28"/>
          <w:szCs w:val="28"/>
        </w:rPr>
        <w:t xml:space="preserve"> 2015</w:t>
      </w:r>
      <w:r w:rsidR="00184570" w:rsidRPr="0023662B">
        <w:rPr>
          <w:rFonts w:cs="Arial"/>
          <w:b/>
          <w:sz w:val="28"/>
          <w:szCs w:val="28"/>
        </w:rPr>
        <w:tab/>
      </w:r>
    </w:p>
    <w:p w:rsidR="00184570" w:rsidRPr="0023662B" w:rsidRDefault="00184570" w:rsidP="0023662B">
      <w:pPr>
        <w:pStyle w:val="Default"/>
        <w:rPr>
          <w:rFonts w:cs="Arial"/>
          <w:b/>
          <w:sz w:val="28"/>
          <w:szCs w:val="28"/>
        </w:rPr>
      </w:pPr>
      <w:r w:rsidRPr="0023662B">
        <w:rPr>
          <w:rFonts w:cs="Arial"/>
          <w:b/>
          <w:sz w:val="28"/>
          <w:szCs w:val="28"/>
        </w:rPr>
        <w:tab/>
      </w:r>
      <w:r w:rsidRPr="0023662B">
        <w:rPr>
          <w:rFonts w:cs="Arial"/>
          <w:b/>
          <w:sz w:val="28"/>
          <w:szCs w:val="28"/>
        </w:rPr>
        <w:tab/>
        <w:t xml:space="preserve">     </w:t>
      </w:r>
    </w:p>
    <w:p w:rsidR="0023662B" w:rsidRDefault="0023662B" w:rsidP="0023662B">
      <w:pPr>
        <w:tabs>
          <w:tab w:val="left" w:pos="284"/>
        </w:tabs>
        <w:ind w:left="284" w:right="141"/>
        <w:rPr>
          <w:rFonts w:ascii="Slimbach LT" w:hAnsi="Slimbach LT" w:cs="Arial"/>
          <w:b/>
          <w:sz w:val="28"/>
          <w:szCs w:val="28"/>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D776B" w:rsidRPr="00784056" w:rsidTr="006853CC">
        <w:tc>
          <w:tcPr>
            <w:tcW w:w="9355" w:type="dxa"/>
            <w:shd w:val="clear" w:color="auto" w:fill="auto"/>
          </w:tcPr>
          <w:p w:rsidR="00ED776B" w:rsidRPr="00ED776B" w:rsidRDefault="00ED776B" w:rsidP="006853CC">
            <w:pPr>
              <w:spacing w:before="120" w:after="120"/>
              <w:ind w:right="142"/>
              <w:rPr>
                <w:rFonts w:ascii="Slimbach LT" w:hAnsi="Slimbach LT" w:cs="Arial"/>
                <w:lang w:val="it-IT"/>
              </w:rPr>
            </w:pPr>
            <w:r w:rsidRPr="00ED776B">
              <w:rPr>
                <w:rFonts w:ascii="Slimbach LT" w:hAnsi="Slimbach LT" w:cs="Arial"/>
                <w:b/>
                <w:lang w:val="it-IT"/>
              </w:rPr>
              <w:t xml:space="preserve">Intervento: </w:t>
            </w:r>
            <w:r w:rsidRPr="00ED776B">
              <w:rPr>
                <w:rFonts w:ascii="Slimbach LT" w:hAnsi="Slimbach LT" w:cs="Arial"/>
                <w:lang w:val="it-IT"/>
              </w:rPr>
              <w:t>Risanamento, riqualificazione e ampliamento</w:t>
            </w:r>
          </w:p>
          <w:p w:rsidR="00ED776B" w:rsidRPr="00ED776B" w:rsidRDefault="00ED776B" w:rsidP="006853CC">
            <w:pPr>
              <w:spacing w:before="120" w:after="120"/>
              <w:ind w:right="142"/>
              <w:rPr>
                <w:rFonts w:ascii="Slimbach LT" w:hAnsi="Slimbach LT" w:cs="Arial"/>
                <w:lang w:val="it-IT"/>
              </w:rPr>
            </w:pPr>
            <w:r w:rsidRPr="00ED776B">
              <w:rPr>
                <w:rFonts w:ascii="Slimbach LT" w:hAnsi="Slimbach LT" w:cs="Arial"/>
                <w:b/>
                <w:lang w:val="it-IT"/>
              </w:rPr>
              <w:t>Tipologia:</w:t>
            </w:r>
            <w:r w:rsidRPr="00ED776B">
              <w:rPr>
                <w:rFonts w:ascii="Slimbach LT" w:hAnsi="Slimbach LT" w:cs="Arial"/>
                <w:lang w:val="it-IT"/>
              </w:rPr>
              <w:t xml:space="preserve"> Centro di Formazione</w:t>
            </w:r>
          </w:p>
          <w:p w:rsidR="00ED776B" w:rsidRPr="00ED776B" w:rsidRDefault="00ED776B" w:rsidP="006853CC">
            <w:pPr>
              <w:spacing w:before="120" w:after="120"/>
              <w:ind w:right="142"/>
              <w:rPr>
                <w:rFonts w:ascii="Slimbach LT" w:hAnsi="Slimbach LT" w:cs="Arial"/>
                <w:b/>
                <w:lang w:val="it-IT"/>
              </w:rPr>
            </w:pPr>
            <w:r w:rsidRPr="00ED776B">
              <w:rPr>
                <w:rFonts w:ascii="Slimbach LT" w:hAnsi="Slimbach LT" w:cs="Arial"/>
                <w:b/>
                <w:lang w:val="it-IT"/>
              </w:rPr>
              <w:t>Anno:</w:t>
            </w:r>
            <w:r w:rsidRPr="00ED776B">
              <w:rPr>
                <w:rFonts w:ascii="Slimbach LT" w:hAnsi="Slimbach LT" w:cs="Arial"/>
                <w:lang w:val="it-IT"/>
              </w:rPr>
              <w:t xml:space="preserve"> 2014</w:t>
            </w:r>
          </w:p>
          <w:p w:rsidR="00ED776B" w:rsidRPr="00ED776B" w:rsidRDefault="00ED776B" w:rsidP="006853CC">
            <w:pPr>
              <w:spacing w:before="120" w:after="120"/>
              <w:ind w:right="142"/>
              <w:rPr>
                <w:rFonts w:ascii="Slimbach LT" w:hAnsi="Slimbach LT" w:cs="Arial"/>
                <w:lang w:val="it-IT"/>
              </w:rPr>
            </w:pPr>
            <w:r w:rsidRPr="00ED776B">
              <w:rPr>
                <w:rFonts w:ascii="Slimbach LT" w:hAnsi="Slimbach LT" w:cs="Arial"/>
                <w:b/>
                <w:lang w:val="it-IT"/>
              </w:rPr>
              <w:t xml:space="preserve">Tipologia: </w:t>
            </w:r>
            <w:r w:rsidRPr="00ED776B">
              <w:rPr>
                <w:rFonts w:ascii="Slimbach LT" w:hAnsi="Slimbach LT" w:cs="Arial"/>
                <w:lang w:val="it-IT"/>
              </w:rPr>
              <w:t>Edificio pubblico</w:t>
            </w:r>
          </w:p>
          <w:p w:rsidR="00ED776B" w:rsidRPr="00ED776B" w:rsidRDefault="00ED776B" w:rsidP="006853CC">
            <w:pPr>
              <w:spacing w:before="120" w:after="120"/>
              <w:ind w:right="142"/>
              <w:rPr>
                <w:rFonts w:ascii="Slimbach LT" w:hAnsi="Slimbach LT" w:cs="Arial"/>
                <w:b/>
                <w:lang w:val="it-IT"/>
              </w:rPr>
            </w:pPr>
            <w:r w:rsidRPr="00ED776B">
              <w:rPr>
                <w:rFonts w:ascii="Slimbach LT" w:hAnsi="Slimbach LT" w:cs="Arial"/>
                <w:b/>
                <w:lang w:val="it-IT"/>
              </w:rPr>
              <w:t>Nome del Progetto:</w:t>
            </w:r>
            <w:r w:rsidRPr="00ED776B">
              <w:rPr>
                <w:rFonts w:ascii="Slimbach LT" w:hAnsi="Slimbach LT" w:cs="Arial"/>
                <w:b/>
                <w:i/>
                <w:lang w:val="it-IT"/>
              </w:rPr>
              <w:t xml:space="preserve"> </w:t>
            </w:r>
            <w:r w:rsidRPr="00ED776B">
              <w:rPr>
                <w:rFonts w:ascii="Slimbach LT" w:hAnsi="Slimbach LT" w:cs="Arial"/>
                <w:b/>
                <w:bCs/>
                <w:i/>
                <w:lang w:val="it-IT"/>
              </w:rPr>
              <w:t>AZW Innsbruck</w:t>
            </w:r>
          </w:p>
          <w:p w:rsidR="00ED776B" w:rsidRPr="00ED776B" w:rsidRDefault="00ED776B" w:rsidP="006853CC">
            <w:pPr>
              <w:pStyle w:val="Pa4"/>
              <w:rPr>
                <w:rFonts w:ascii="Slimbach LT" w:hAnsi="Slimbach LT" w:cs="CCELE R+ DIN Cond"/>
                <w:color w:val="000000"/>
              </w:rPr>
            </w:pPr>
            <w:r w:rsidRPr="00ED776B">
              <w:rPr>
                <w:rFonts w:ascii="Slimbach LT" w:hAnsi="Slimbach LT" w:cs="Arial"/>
                <w:b/>
              </w:rPr>
              <w:t xml:space="preserve">Progettisti: </w:t>
            </w:r>
            <w:r w:rsidRPr="00ED776B">
              <w:rPr>
                <w:rFonts w:ascii="Slimbach LT" w:hAnsi="Slimbach LT" w:cs="CCELE R+ DIN Cond"/>
                <w:color w:val="000000"/>
              </w:rPr>
              <w:t>Fügenschuh Hrdlovics Architects</w:t>
            </w:r>
          </w:p>
          <w:p w:rsidR="00ED776B" w:rsidRPr="00ED776B" w:rsidRDefault="00ED776B" w:rsidP="006853CC">
            <w:pPr>
              <w:spacing w:before="120" w:after="120"/>
              <w:ind w:right="142"/>
              <w:rPr>
                <w:rFonts w:ascii="Slimbach LT" w:hAnsi="Slimbach LT" w:cs="Arial"/>
                <w:b/>
                <w:lang w:val="it-IT"/>
              </w:rPr>
            </w:pPr>
            <w:r w:rsidRPr="00ED776B">
              <w:rPr>
                <w:rFonts w:ascii="Slimbach LT" w:hAnsi="Slimbach LT" w:cs="Arial"/>
                <w:b/>
                <w:lang w:val="it-IT"/>
              </w:rPr>
              <w:t xml:space="preserve">Ubicazione: </w:t>
            </w:r>
            <w:r w:rsidRPr="00ED776B">
              <w:rPr>
                <w:rFonts w:ascii="Slimbach LT" w:hAnsi="Slimbach LT" w:cs="Arial"/>
                <w:bCs/>
                <w:lang w:val="it-IT"/>
              </w:rPr>
              <w:t>Innsbruck - Austria</w:t>
            </w:r>
          </w:p>
          <w:p w:rsidR="00ED776B" w:rsidRPr="00ED776B" w:rsidRDefault="00ED776B" w:rsidP="006853CC">
            <w:pPr>
              <w:spacing w:before="120" w:after="120"/>
              <w:ind w:right="142"/>
              <w:rPr>
                <w:rFonts w:ascii="Slimbach LT" w:hAnsi="Slimbach LT" w:cs="Arial"/>
                <w:lang w:val="it-IT"/>
              </w:rPr>
            </w:pPr>
            <w:r w:rsidRPr="00ED776B">
              <w:rPr>
                <w:rFonts w:ascii="Slimbach LT" w:hAnsi="Slimbach LT" w:cs="Arial"/>
                <w:b/>
                <w:lang w:val="it-IT"/>
              </w:rPr>
              <w:t xml:space="preserve">Realizzazione: </w:t>
            </w:r>
            <w:r w:rsidRPr="00ED776B">
              <w:rPr>
                <w:rFonts w:ascii="Slimbach LT" w:hAnsi="Slimbach LT" w:cs="Arial"/>
                <w:lang w:val="it-IT"/>
              </w:rPr>
              <w:t>Facciata</w:t>
            </w:r>
          </w:p>
          <w:p w:rsidR="00ED776B" w:rsidRPr="00784056" w:rsidRDefault="00ED776B" w:rsidP="006853CC">
            <w:pPr>
              <w:spacing w:before="120" w:after="120"/>
              <w:ind w:right="142"/>
              <w:rPr>
                <w:rFonts w:ascii="Arial" w:hAnsi="Arial" w:cs="Arial"/>
                <w:b/>
                <w:sz w:val="28"/>
                <w:szCs w:val="28"/>
                <w:lang w:val="it-IT"/>
              </w:rPr>
            </w:pPr>
            <w:r w:rsidRPr="00ED776B">
              <w:rPr>
                <w:rFonts w:ascii="Slimbach LT" w:hAnsi="Slimbach LT" w:cs="Arial"/>
                <w:b/>
                <w:lang w:val="it-IT"/>
              </w:rPr>
              <w:t>Prodotto</w:t>
            </w:r>
            <w:r w:rsidRPr="00ED776B">
              <w:rPr>
                <w:rFonts w:ascii="Slimbach LT" w:hAnsi="Slimbach LT" w:cs="Arial"/>
                <w:lang w:val="it-IT"/>
              </w:rPr>
              <w:t xml:space="preserve">: Doghe di rivestimento PREFA, </w:t>
            </w:r>
            <w:r w:rsidRPr="00ED776B">
              <w:rPr>
                <w:rFonts w:ascii="Slimbach LT" w:hAnsi="Slimbach LT" w:cs="Arial"/>
                <w:bCs/>
                <w:lang w:val="it-IT"/>
              </w:rPr>
              <w:t>Grigio chiaro P.10</w:t>
            </w:r>
          </w:p>
        </w:tc>
      </w:tr>
    </w:tbl>
    <w:p w:rsidR="00ED776B" w:rsidRPr="00784056" w:rsidRDefault="00ED776B" w:rsidP="00ED776B">
      <w:pPr>
        <w:tabs>
          <w:tab w:val="left" w:pos="7513"/>
        </w:tabs>
        <w:ind w:right="-1"/>
        <w:jc w:val="both"/>
        <w:rPr>
          <w:rFonts w:ascii="Arial" w:hAnsi="Arial" w:cs="Arial"/>
          <w:b/>
          <w:sz w:val="28"/>
          <w:szCs w:val="28"/>
          <w:lang w:val="it-IT"/>
        </w:rPr>
      </w:pPr>
    </w:p>
    <w:p w:rsidR="00ED776B" w:rsidRPr="00ED776B" w:rsidRDefault="00ED776B" w:rsidP="00ED776B">
      <w:pPr>
        <w:tabs>
          <w:tab w:val="left" w:pos="284"/>
        </w:tabs>
        <w:ind w:left="284" w:right="141"/>
        <w:rPr>
          <w:rFonts w:ascii="Arial" w:hAnsi="Arial" w:cs="Arial"/>
          <w:b/>
          <w:sz w:val="28"/>
          <w:szCs w:val="28"/>
          <w:lang w:val="it-IT"/>
        </w:rPr>
      </w:pP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b/>
          <w:bCs/>
          <w:sz w:val="28"/>
          <w:szCs w:val="28"/>
          <w:lang w:val="it-IT" w:eastAsia="ko-KR"/>
        </w:rPr>
      </w:pPr>
      <w:r w:rsidRPr="00ED776B">
        <w:rPr>
          <w:rFonts w:ascii="Slimbach LT" w:hAnsi="Slimbach LT" w:cs="Arial"/>
          <w:b/>
          <w:bCs/>
          <w:sz w:val="28"/>
          <w:szCs w:val="28"/>
          <w:lang w:val="it-IT" w:eastAsia="ko-KR"/>
        </w:rPr>
        <w:t>Il Centro di formazione per professioni sanitarie AZW di Innsbruck sperimenta un rinnovato splendore grazie alle doghe di rivestimento PREFA</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bCs/>
          <w:lang w:val="it-IT" w:eastAsia="ko-KR"/>
        </w:rPr>
      </w:pP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bCs/>
          <w:lang w:val="it-IT" w:eastAsia="ko-KR"/>
        </w:rPr>
        <w:t xml:space="preserve">L’edificio che ospita il Centro di formazione per professioni sanitarie AZW, </w:t>
      </w:r>
      <w:r w:rsidRPr="00ED776B">
        <w:rPr>
          <w:rFonts w:ascii="Slimbach LT" w:hAnsi="Slimbach LT" w:cs="Arial"/>
          <w:lang w:val="it-IT" w:eastAsia="ko-KR"/>
        </w:rPr>
        <w:t xml:space="preserve">risalente agli anni '70 e </w:t>
      </w:r>
      <w:r w:rsidRPr="00ED776B">
        <w:rPr>
          <w:rFonts w:ascii="Slimbach LT" w:hAnsi="Slimbach LT" w:cs="Arial"/>
          <w:bCs/>
          <w:lang w:val="it-IT" w:eastAsia="ko-KR"/>
        </w:rPr>
        <w:t xml:space="preserve">ubicato </w:t>
      </w:r>
      <w:r w:rsidRPr="00ED776B">
        <w:rPr>
          <w:rFonts w:ascii="Slimbach LT" w:hAnsi="Slimbach LT" w:cs="Arial"/>
          <w:lang w:val="it-IT" w:eastAsia="ko-KR"/>
        </w:rPr>
        <w:t xml:space="preserve">all'incrocio di due arterie stradali molto frequentate di Innsbruck vicino al fiume Inn, si distingueva ormai nel contesto urbano per la sua estetica desolata. </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bCs/>
          <w:lang w:val="it-IT" w:eastAsia="ko-KR"/>
        </w:rPr>
      </w:pPr>
      <w:r w:rsidRPr="00ED776B">
        <w:rPr>
          <w:rFonts w:ascii="Slimbach LT" w:hAnsi="Slimbach LT" w:cs="Arial"/>
          <w:lang w:val="it-IT" w:eastAsia="ko-KR"/>
        </w:rPr>
        <w:t>L’intervento di recupero del complesso gravato da</w:t>
      </w:r>
      <w:r w:rsidRPr="00ED776B">
        <w:rPr>
          <w:rFonts w:ascii="Slimbach LT" w:hAnsi="Slimbach LT" w:cs="Arial"/>
          <w:bCs/>
          <w:lang w:val="it-IT" w:eastAsia="ko-KR"/>
        </w:rPr>
        <w:t xml:space="preserve"> oltre 40 anni di utilizzo intenso, si era reso indispensabile per la mancanza di spazi, le carenze tecniche e la struttura obsoleta. Oggi, il Centro di formazione AZW, risanato ed ampliato, grazie ad un intraprendente progetto degli architetti  Fügenschuh e Hrdlovics, trasmette a studenti, insegnanti e ricercatori una nuova energia e vitalità con </w:t>
      </w:r>
      <w:r w:rsidRPr="00ED776B">
        <w:rPr>
          <w:rFonts w:ascii="Slimbach LT" w:hAnsi="Slimbach LT" w:cs="Arial"/>
          <w:b/>
          <w:bCs/>
          <w:lang w:val="it-IT" w:eastAsia="ko-KR"/>
        </w:rPr>
        <w:t>spazi luminosi, accoglienti e funzionali</w:t>
      </w:r>
      <w:r w:rsidRPr="00ED776B">
        <w:rPr>
          <w:rFonts w:ascii="Slimbach LT" w:hAnsi="Slimbach LT" w:cs="Arial"/>
          <w:bCs/>
          <w:lang w:val="it-IT" w:eastAsia="ko-KR"/>
        </w:rPr>
        <w:t>.</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bCs/>
          <w:lang w:val="it-IT" w:eastAsia="ko-KR"/>
        </w:rPr>
      </w:pPr>
    </w:p>
    <w:p w:rsidR="00ED776B" w:rsidRPr="00ED776B" w:rsidRDefault="00ED776B" w:rsidP="00ED776B">
      <w:pPr>
        <w:tabs>
          <w:tab w:val="left" w:pos="8520"/>
        </w:tabs>
        <w:autoSpaceDE w:val="0"/>
        <w:autoSpaceDN w:val="0"/>
        <w:adjustRightInd w:val="0"/>
        <w:spacing w:after="120" w:line="276" w:lineRule="auto"/>
        <w:ind w:left="284" w:right="-1"/>
        <w:rPr>
          <w:rFonts w:ascii="Slimbach LT" w:hAnsi="Slimbach LT" w:cs="Arial"/>
          <w:lang w:val="it-IT" w:eastAsia="ko-KR"/>
        </w:rPr>
      </w:pPr>
      <w:r w:rsidRPr="00ED776B">
        <w:rPr>
          <w:rFonts w:ascii="Slimbach LT" w:hAnsi="Slimbach LT" w:cs="Arial"/>
          <w:lang w:val="it-IT" w:eastAsia="ko-KR"/>
        </w:rPr>
        <w:t>I locali occupati dalla struttura formativa hanno beneficiato del trasferimento da una posizione sacrificata e poco presente, dislocata nell’angolo sud-ovest del primo piano del vecchio edificio, alla collocazione nei nuovi spazi che da un lato offrono una eccellente visibilità e dall’altra permettono di godere di una organizzazione interna strutturata e funzionale delle attività didattiche e di servizio.</w:t>
      </w:r>
    </w:p>
    <w:p w:rsidR="00ED776B" w:rsidRPr="00ED776B" w:rsidRDefault="00ED776B" w:rsidP="00ED776B">
      <w:pPr>
        <w:tabs>
          <w:tab w:val="left" w:pos="8520"/>
        </w:tabs>
        <w:autoSpaceDE w:val="0"/>
        <w:autoSpaceDN w:val="0"/>
        <w:adjustRightInd w:val="0"/>
        <w:spacing w:after="120" w:line="276" w:lineRule="auto"/>
        <w:ind w:left="284" w:right="-1"/>
        <w:rPr>
          <w:rFonts w:ascii="Slimbach LT" w:hAnsi="Slimbach LT" w:cs="Arial"/>
          <w:lang w:val="it-IT" w:eastAsia="ko-KR"/>
        </w:rPr>
      </w:pPr>
      <w:r w:rsidRPr="00ED776B">
        <w:rPr>
          <w:rFonts w:ascii="Slimbach LT" w:hAnsi="Slimbach LT" w:cs="Arial"/>
          <w:lang w:val="it-IT" w:eastAsia="ko-KR"/>
        </w:rPr>
        <w:t xml:space="preserve">  </w:t>
      </w:r>
    </w:p>
    <w:p w:rsidR="00ED776B" w:rsidRPr="00ED776B" w:rsidRDefault="00ED776B" w:rsidP="00ED776B">
      <w:pPr>
        <w:tabs>
          <w:tab w:val="left" w:pos="8520"/>
        </w:tabs>
        <w:autoSpaceDE w:val="0"/>
        <w:autoSpaceDN w:val="0"/>
        <w:adjustRightInd w:val="0"/>
        <w:spacing w:after="120" w:line="276" w:lineRule="auto"/>
        <w:ind w:left="284" w:right="-1"/>
        <w:rPr>
          <w:rFonts w:ascii="Slimbach LT" w:hAnsi="Slimbach LT" w:cs="Arial"/>
          <w:lang w:val="it-IT" w:eastAsia="ko-KR"/>
        </w:rPr>
      </w:pPr>
      <w:r w:rsidRPr="00ED776B">
        <w:rPr>
          <w:rFonts w:ascii="Slimbach LT" w:hAnsi="Slimbach LT" w:cs="Arial"/>
          <w:lang w:val="it-IT" w:eastAsia="ko-KR"/>
        </w:rPr>
        <w:t xml:space="preserve">I progettisti hanno progettato l’ampliamento della struttura originale giocando con la stratificazione dei volumi e assorbendo la struttura esistente come un nucleo, cuore pulsante che irradia la sua energia verso l’esterno. In questo modo sono stati creati nuovi </w:t>
      </w:r>
      <w:r w:rsidRPr="00ED776B">
        <w:rPr>
          <w:rFonts w:ascii="Slimbach LT" w:hAnsi="Slimbach LT" w:cs="Arial"/>
          <w:lang w:val="it-IT" w:eastAsia="ko-KR"/>
        </w:rPr>
        <w:lastRenderedPageBreak/>
        <w:t>spazi che godono di una ottima illuminazione naturale e della opportuna ventilazione. La rinnovata organizzazione degli ambienti e l’esposizione ottimale semplifica notevolmente l'orientamento all'interno dell'edificio.</w:t>
      </w:r>
    </w:p>
    <w:p w:rsidR="00ED776B" w:rsidRPr="00ED776B" w:rsidRDefault="00ED776B" w:rsidP="00ED776B">
      <w:pPr>
        <w:tabs>
          <w:tab w:val="left" w:pos="8520"/>
        </w:tabs>
        <w:autoSpaceDE w:val="0"/>
        <w:autoSpaceDN w:val="0"/>
        <w:adjustRightInd w:val="0"/>
        <w:spacing w:after="120" w:line="276" w:lineRule="auto"/>
        <w:ind w:left="284" w:right="-1"/>
        <w:rPr>
          <w:rFonts w:ascii="Slimbach LT" w:hAnsi="Slimbach LT" w:cs="Arial"/>
          <w:lang w:val="it-IT" w:eastAsia="ko-KR"/>
        </w:rPr>
      </w:pPr>
      <w:r w:rsidRPr="00ED776B">
        <w:rPr>
          <w:rFonts w:ascii="Slimbach LT" w:hAnsi="Slimbach LT" w:cs="Arial"/>
          <w:lang w:val="it-IT" w:eastAsia="ko-KR"/>
        </w:rPr>
        <w:t>Le aree comuni dislocate sui tre piani della nuova struttura – caffetteria, biblioteca, terrazza panoramica, sono collegate da una nuova scala e gli ambienti prima tetri e cupi sono alleggeriti da altezze variabili e trasparenze.</w:t>
      </w:r>
    </w:p>
    <w:p w:rsidR="00ED776B" w:rsidRPr="00ED776B" w:rsidRDefault="00ED776B" w:rsidP="00ED776B">
      <w:pPr>
        <w:tabs>
          <w:tab w:val="left" w:pos="8520"/>
        </w:tabs>
        <w:autoSpaceDE w:val="0"/>
        <w:autoSpaceDN w:val="0"/>
        <w:adjustRightInd w:val="0"/>
        <w:spacing w:after="120" w:line="276" w:lineRule="auto"/>
        <w:ind w:left="284" w:right="-1"/>
        <w:rPr>
          <w:rFonts w:ascii="Slimbach LT" w:hAnsi="Slimbach LT" w:cs="Arial"/>
          <w:lang w:val="it-IT" w:eastAsia="ko-KR"/>
        </w:rPr>
      </w:pP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 xml:space="preserve"> “L’ammodernamento e l’ampliamento di questo edificio è stato come un intervento chirurgico a cuore aperto”, spiega l’architetto Julia Fügenschuh dello studio Fügenschuh Hrdlovics Architekten parlando della sfida di trasformare un edificio dalla sostanza strutturale obsoleta in un moderno centro di formazione per professioni sanitarie, e questo senza interrompere il ciclo di insegnamento e con costi molto contenuti.</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 xml:space="preserve">Il tessuto edilizio esistente ha posto una vera e propria sfida, vinta con competenza e soddisfazione dai progettisti, che sono riusciti a trasformare ambienti caratterizzati da un’atmosfera cupa, opprimente e angusta, per creare nuovi spazi dominati dalla luce, trasparenze e soprattutto una struttura costruttiva chiara e logica. </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È importante non trasformare completamente l'edificio, ma riconoscere le sue qualità e lavorare per adattarlo alle esigenze di oggi. L'effetto è di solito più accattivante di quella di una nuova costruzione” spiega l’Arch. Fügenschuh.</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b/>
          <w:lang w:val="it-IT" w:eastAsia="ko-KR"/>
        </w:rPr>
      </w:pPr>
      <w:r w:rsidRPr="00ED776B">
        <w:rPr>
          <w:rFonts w:ascii="Slimbach LT" w:hAnsi="Slimbach LT" w:cs="Arial"/>
          <w:b/>
          <w:bCs/>
          <w:lang w:val="it-IT" w:eastAsia="ko-KR"/>
        </w:rPr>
        <w:t xml:space="preserve">Lifting della facciata di un edificio </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PREFA è riuscita ancora una volta a perfezionare il dialogo tra vecchio e nuovo rivestendo con doghe di rivestimento PREFA la complessa facciata del Centro di formazione AZW.</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Anche per l’aspetto esteriore, gli architetti hanno fatto ricorso a tutte le loro abilità di “chirurgia estetica”. Qui, le problematiche principali di cui tenere conto erano l’obsolescenza e l’assenza di manutenzione che avevano reso l’edificio esteticamente pesante. Per valorizzare le nuove forme dalle grandi superfici e creare un ricercato effetto di alternanze tra grandi superfici opache e le ampie vetrate, è stato scelto dai progettisti il rivestimento in Doghe di alluminio PREFA P.10 di colore grigio chiaro.</w:t>
      </w:r>
    </w:p>
    <w:p w:rsid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 xml:space="preserve">Le Doghe hanno un aspetto ottico molto attraente grazie all’elegante finitura opaca, all’alternanza di formati differenti e la creazione di un piacevole effetto di luce-ombra tra superfici e fughe che arricchisce le superfici. </w:t>
      </w: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p>
    <w:p w:rsidR="00ED776B" w:rsidRPr="00ED776B" w:rsidRDefault="00ED776B" w:rsidP="00ED776B">
      <w:pPr>
        <w:tabs>
          <w:tab w:val="left" w:pos="8520"/>
        </w:tabs>
        <w:autoSpaceDE w:val="0"/>
        <w:autoSpaceDN w:val="0"/>
        <w:adjustRightInd w:val="0"/>
        <w:spacing w:after="120" w:line="276" w:lineRule="auto"/>
        <w:ind w:left="284" w:right="-1"/>
        <w:jc w:val="both"/>
        <w:rPr>
          <w:rFonts w:ascii="Slimbach LT" w:hAnsi="Slimbach LT" w:cs="Arial"/>
          <w:lang w:val="it-IT" w:eastAsia="ko-KR"/>
        </w:rPr>
      </w:pPr>
      <w:r w:rsidRPr="00ED776B">
        <w:rPr>
          <w:rFonts w:ascii="Slimbach LT" w:hAnsi="Slimbach LT" w:cs="Arial"/>
          <w:lang w:val="it-IT" w:eastAsia="ko-KR"/>
        </w:rPr>
        <w:t xml:space="preserve">Dall’intervento di ristrutturazione trae beneficio chiaramente anche il bilancio energetico: “La costruzione di facciata a cortina retroventilata fornisce una protezione ottimale dalle intemperie, un isolamento efficace e la perfetta regolazione igrometrica per un comfort abitativo ideale in ogni stagione.” Inoltre “La compatibilità ambientale dei materiali da costruzione utilizzati è un criterio decisionale sempre più importante per i committenti pubblici. E qui PREFA offre dei vantaggi prestigiosi: </w:t>
      </w:r>
      <w:r w:rsidRPr="00ED776B">
        <w:rPr>
          <w:rFonts w:ascii="Slimbach LT" w:hAnsi="Slimbach LT" w:cs="Arial"/>
          <w:lang w:val="it-IT"/>
        </w:rPr>
        <w:t xml:space="preserve">nella produzione di alluminio per i prodotti PREFA viene utilizzato circa il 10% di alluminio primario e un'alta </w:t>
      </w:r>
      <w:r w:rsidRPr="00ED776B">
        <w:rPr>
          <w:rFonts w:ascii="Slimbach LT" w:hAnsi="Slimbach LT" w:cs="Arial"/>
          <w:lang w:val="it-IT"/>
        </w:rPr>
        <w:lastRenderedPageBreak/>
        <w:t>percentuale di alluminio secondario. Ciò significa che l’alluminio è riciclabile al 100% senza perdita rilevante della qualità,</w:t>
      </w:r>
      <w:r w:rsidRPr="00ED776B">
        <w:rPr>
          <w:rFonts w:ascii="Slimbach LT" w:hAnsi="Slimbach LT" w:cs="Arial"/>
          <w:lang w:val="it-IT" w:eastAsia="ko-KR"/>
        </w:rPr>
        <w:t xml:space="preserve"> </w:t>
      </w:r>
      <w:r w:rsidRPr="00ED776B">
        <w:rPr>
          <w:rFonts w:ascii="Slimbach LT" w:hAnsi="Slimbach LT" w:cs="Arial"/>
          <w:lang w:val="it-IT"/>
        </w:rPr>
        <w:t>assicurando un ottimo bilancio ecologico</w:t>
      </w:r>
      <w:r w:rsidRPr="00ED776B">
        <w:rPr>
          <w:rFonts w:ascii="Slimbach LT" w:hAnsi="Slimbach LT" w:cs="Arial"/>
          <w:lang w:val="it-IT" w:eastAsia="ko-KR"/>
        </w:rPr>
        <w:t>.”</w:t>
      </w:r>
    </w:p>
    <w:p w:rsidR="00ED776B" w:rsidRPr="00ED776B" w:rsidRDefault="00ED776B" w:rsidP="00ED776B">
      <w:pPr>
        <w:tabs>
          <w:tab w:val="left" w:pos="8520"/>
        </w:tabs>
        <w:autoSpaceDE w:val="0"/>
        <w:autoSpaceDN w:val="0"/>
        <w:adjustRightInd w:val="0"/>
        <w:ind w:left="284" w:right="-1"/>
        <w:jc w:val="both"/>
        <w:rPr>
          <w:rFonts w:ascii="Slimbach LT" w:hAnsi="Slimbach LT" w:cs="Arial"/>
          <w:lang w:val="it-IT" w:eastAsia="ko-KR"/>
        </w:rPr>
      </w:pPr>
      <w:r w:rsidRPr="00ED776B">
        <w:rPr>
          <w:rFonts w:ascii="Slimbach LT" w:hAnsi="Slimbach LT" w:cs="Arial"/>
          <w:lang w:val="it-IT" w:eastAsia="ko-KR"/>
        </w:rPr>
        <w:t xml:space="preserve">Il sistema di posa delle Doghe PREFA è </w:t>
      </w:r>
      <w:r w:rsidRPr="00ED776B">
        <w:rPr>
          <w:rFonts w:ascii="Slimbach LT" w:hAnsi="Slimbach LT" w:cs="Arial"/>
          <w:b/>
          <w:lang w:val="it-IT" w:eastAsia="ko-KR"/>
        </w:rPr>
        <w:t>semplice e completo</w:t>
      </w:r>
      <w:r w:rsidRPr="00ED776B">
        <w:rPr>
          <w:rFonts w:ascii="Slimbach LT" w:hAnsi="Slimbach LT" w:cs="Arial"/>
          <w:lang w:val="it-IT" w:eastAsia="ko-KR"/>
        </w:rPr>
        <w:t>, provvisto di raccordi e chiusure per una sicurezza ottimale su ogni elemento nelle tre varianti di posa: verticale, orizzontale e diagonale. È sufficiente fissare le staffe sul retro delle doghe e bloccarle alla sottostruttura per una posa a regola d’arte.</w:t>
      </w:r>
    </w:p>
    <w:p w:rsidR="00ED776B" w:rsidRPr="00ED776B" w:rsidRDefault="00ED776B" w:rsidP="00ED776B">
      <w:pPr>
        <w:tabs>
          <w:tab w:val="left" w:pos="8520"/>
        </w:tabs>
        <w:autoSpaceDE w:val="0"/>
        <w:autoSpaceDN w:val="0"/>
        <w:adjustRightInd w:val="0"/>
        <w:ind w:left="284" w:right="-1"/>
        <w:jc w:val="both"/>
        <w:rPr>
          <w:rFonts w:ascii="Slimbach LT" w:hAnsi="Slimbach LT" w:cs="Arial"/>
          <w:lang w:val="it-IT" w:eastAsia="ko-KR"/>
        </w:rPr>
      </w:pPr>
    </w:p>
    <w:p w:rsidR="00ED776B" w:rsidRPr="00ED776B" w:rsidRDefault="00ED776B" w:rsidP="00ED776B">
      <w:pPr>
        <w:spacing w:line="276" w:lineRule="auto"/>
        <w:ind w:left="284"/>
        <w:jc w:val="both"/>
        <w:rPr>
          <w:rFonts w:ascii="Slimbach LT" w:hAnsi="Slimbach LT" w:cs="Arial"/>
          <w:lang w:val="it-IT"/>
        </w:rPr>
      </w:pPr>
      <w:r w:rsidRPr="00ED776B">
        <w:rPr>
          <w:rFonts w:ascii="Slimbach LT" w:hAnsi="Slimbach LT" w:cs="Arial"/>
          <w:lang w:val="it-IT"/>
        </w:rPr>
        <w:t xml:space="preserve">I rivestimenti in alluminio PREFA sono caratterizzati da una </w:t>
      </w:r>
      <w:r w:rsidRPr="00ED776B">
        <w:rPr>
          <w:rFonts w:ascii="Slimbach LT" w:hAnsi="Slimbach LT" w:cs="Arial"/>
          <w:b/>
          <w:lang w:val="it-IT"/>
        </w:rPr>
        <w:t xml:space="preserve">estrema leggerezza </w:t>
      </w:r>
      <w:r w:rsidRPr="00ED776B">
        <w:rPr>
          <w:rFonts w:ascii="Slimbach LT" w:hAnsi="Slimbach LT" w:cs="Arial"/>
          <w:lang w:val="it-IT"/>
        </w:rPr>
        <w:t xml:space="preserve">che agevola la posa in opera, da </w:t>
      </w:r>
      <w:r w:rsidRPr="00ED776B">
        <w:rPr>
          <w:rFonts w:ascii="Slimbach LT" w:hAnsi="Slimbach LT" w:cs="Arial"/>
          <w:b/>
          <w:lang w:val="it-IT"/>
        </w:rPr>
        <w:t>un’elevatissima resistenza</w:t>
      </w:r>
      <w:r w:rsidRPr="00ED776B">
        <w:rPr>
          <w:rFonts w:ascii="Slimbach LT" w:hAnsi="Slimbach LT" w:cs="Arial"/>
          <w:lang w:val="it-IT"/>
        </w:rPr>
        <w:t xml:space="preserve"> al gelo, agli sbalzi termici e alla rottura. L’alluminio PREFA è inattaccabile dalla ruggine e resiste perfettamente alle aggressioni chimiche e alla corrosione.</w:t>
      </w:r>
    </w:p>
    <w:p w:rsidR="00ED776B" w:rsidRPr="00ED776B" w:rsidRDefault="00ED776B" w:rsidP="00ED776B">
      <w:pPr>
        <w:spacing w:line="276" w:lineRule="auto"/>
        <w:ind w:left="284"/>
        <w:jc w:val="both"/>
        <w:rPr>
          <w:rFonts w:ascii="Slimbach LT" w:hAnsi="Slimbach LT" w:cs="Arial"/>
          <w:lang w:val="it-IT" w:eastAsia="ko-KR"/>
        </w:rPr>
      </w:pPr>
      <w:r w:rsidRPr="00ED776B">
        <w:rPr>
          <w:rFonts w:ascii="Slimbach LT" w:hAnsi="Slimbach LT" w:cs="Arial"/>
          <w:lang w:val="it-IT" w:eastAsia="ko-KR"/>
        </w:rPr>
        <w:t xml:space="preserve">La lega d’alluminio con due strati di verniciatura a fuoco o verniciatura a polvere con cui sono prodotte le Doghe Prefa assicura una lunghissima durata del materiale senza necessità di manutenzione con una </w:t>
      </w:r>
      <w:r w:rsidRPr="00ED776B">
        <w:rPr>
          <w:rFonts w:ascii="Slimbach LT" w:hAnsi="Slimbach LT" w:cs="Arial"/>
          <w:b/>
          <w:lang w:val="it-IT" w:eastAsia="ko-KR"/>
        </w:rPr>
        <w:t>garanzia di 40 anni</w:t>
      </w:r>
      <w:r w:rsidRPr="00ED776B">
        <w:rPr>
          <w:rFonts w:ascii="Slimbach LT" w:hAnsi="Slimbach LT" w:cs="Arial"/>
          <w:lang w:val="it-IT" w:eastAsia="ko-KR"/>
        </w:rPr>
        <w:t xml:space="preserve">. </w:t>
      </w:r>
    </w:p>
    <w:p w:rsidR="00ED776B" w:rsidRPr="00ED776B" w:rsidRDefault="00ED776B" w:rsidP="00ED776B">
      <w:pPr>
        <w:spacing w:line="276" w:lineRule="auto"/>
        <w:ind w:left="284"/>
        <w:jc w:val="both"/>
        <w:rPr>
          <w:rFonts w:ascii="Slimbach LT" w:hAnsi="Slimbach LT" w:cs="Arial"/>
          <w:lang w:val="it-IT" w:eastAsia="ko-KR"/>
        </w:rPr>
      </w:pPr>
    </w:p>
    <w:p w:rsidR="00ED776B" w:rsidRPr="00ED776B" w:rsidRDefault="00ED776B" w:rsidP="00ED776B">
      <w:pPr>
        <w:spacing w:after="120" w:line="276" w:lineRule="auto"/>
        <w:ind w:left="284" w:right="141"/>
        <w:jc w:val="both"/>
        <w:rPr>
          <w:rFonts w:ascii="Slimbach LT" w:hAnsi="Slimbach LT" w:cs="Arial"/>
          <w:lang w:val="it-IT"/>
        </w:rPr>
      </w:pPr>
      <w:r w:rsidRPr="00ED776B">
        <w:rPr>
          <w:rFonts w:ascii="Slimbach LT" w:hAnsi="Slimbach LT" w:cs="Arial"/>
          <w:lang w:val="it-IT" w:eastAsia="ko-KR"/>
        </w:rPr>
        <w:t xml:space="preserve">La colorazione P.10 scelta per questa realizzazione, </w:t>
      </w:r>
      <w:r w:rsidRPr="00ED776B">
        <w:rPr>
          <w:rFonts w:ascii="Slimbach LT" w:hAnsi="Slimbach LT" w:cs="Arial"/>
          <w:lang w:val="it-IT"/>
        </w:rPr>
        <w:t xml:space="preserve">risulta ancora più resistente ai graffi, alle scheggiature, alle sollecitazioni esterne e ai raggi UV, assicurando la durata e stabilità nel tempo. </w:t>
      </w:r>
      <w:r w:rsidRPr="00ED776B">
        <w:rPr>
          <w:rFonts w:ascii="Slimbach LT" w:hAnsi="Slimbach LT" w:cs="Arial"/>
          <w:b/>
          <w:lang w:val="it-IT"/>
        </w:rPr>
        <w:t>Sulle superfici PREFA P.10</w:t>
      </w:r>
      <w:r w:rsidRPr="00ED776B">
        <w:rPr>
          <w:rFonts w:ascii="Slimbach LT" w:hAnsi="Slimbach LT" w:cs="Arial"/>
          <w:lang w:val="it-IT"/>
        </w:rPr>
        <w:t xml:space="preserve"> è presente oltre alla garanzia di 40 anni sui materiali anche la</w:t>
      </w:r>
      <w:r w:rsidRPr="00ED776B">
        <w:rPr>
          <w:rFonts w:ascii="Slimbach LT" w:hAnsi="Slimbach LT" w:cs="Arial"/>
          <w:b/>
          <w:lang w:val="it-IT"/>
        </w:rPr>
        <w:t xml:space="preserve"> garanzia quarantennale sulla verniciatura</w:t>
      </w:r>
      <w:r w:rsidRPr="00ED776B">
        <w:rPr>
          <w:rFonts w:ascii="Slimbach LT" w:hAnsi="Slimbach LT" w:cs="Arial"/>
          <w:lang w:val="it-IT"/>
        </w:rPr>
        <w:t>.</w:t>
      </w:r>
    </w:p>
    <w:p w:rsidR="0023662B" w:rsidRPr="00ED776B" w:rsidRDefault="0023662B" w:rsidP="0023662B">
      <w:pPr>
        <w:spacing w:line="360" w:lineRule="auto"/>
        <w:ind w:left="284" w:right="141"/>
        <w:jc w:val="both"/>
        <w:rPr>
          <w:rFonts w:ascii="Slimbach LT" w:hAnsi="Slimbach LT" w:cs="Arial"/>
          <w:b/>
          <w:lang w:val="it-IT"/>
        </w:rPr>
      </w:pPr>
    </w:p>
    <w:p w:rsidR="0023662B" w:rsidRDefault="0023662B" w:rsidP="0023662B">
      <w:pPr>
        <w:spacing w:line="360" w:lineRule="auto"/>
        <w:ind w:left="284" w:right="141"/>
        <w:jc w:val="both"/>
        <w:rPr>
          <w:rFonts w:ascii="Slimbach LT" w:hAnsi="Slimbach LT" w:cs="Arial"/>
          <w:b/>
          <w:sz w:val="22"/>
          <w:szCs w:val="22"/>
          <w:lang w:val="it-IT"/>
        </w:rPr>
      </w:pPr>
    </w:p>
    <w:p w:rsidR="00ED776B" w:rsidRDefault="00ED776B" w:rsidP="0023662B">
      <w:pPr>
        <w:spacing w:line="360" w:lineRule="auto"/>
        <w:ind w:left="284" w:right="141"/>
        <w:jc w:val="both"/>
        <w:rPr>
          <w:rFonts w:ascii="Slimbach LT" w:hAnsi="Slimbach LT" w:cs="Arial"/>
          <w:b/>
          <w:sz w:val="22"/>
          <w:szCs w:val="22"/>
          <w:lang w:val="it-IT"/>
        </w:rPr>
      </w:pPr>
    </w:p>
    <w:p w:rsidR="00ED776B" w:rsidRPr="0023662B" w:rsidRDefault="00ED776B" w:rsidP="0023662B">
      <w:pPr>
        <w:spacing w:line="360" w:lineRule="auto"/>
        <w:ind w:left="284" w:right="141"/>
        <w:jc w:val="both"/>
        <w:rPr>
          <w:rFonts w:ascii="Slimbach LT" w:hAnsi="Slimbach LT" w:cs="Arial"/>
          <w:b/>
          <w:sz w:val="22"/>
          <w:szCs w:val="22"/>
          <w:lang w:val="it-IT"/>
        </w:rPr>
      </w:pPr>
    </w:p>
    <w:p w:rsidR="00184570" w:rsidRPr="00ED776B" w:rsidRDefault="0023662B" w:rsidP="00ED776B">
      <w:pPr>
        <w:spacing w:line="360" w:lineRule="auto"/>
        <w:ind w:left="284" w:right="141"/>
        <w:jc w:val="both"/>
        <w:rPr>
          <w:rFonts w:ascii="Slimbach LT" w:hAnsi="Slimbach LT" w:cs="Arial"/>
          <w:b/>
          <w:sz w:val="22"/>
          <w:szCs w:val="22"/>
          <w:lang w:val="pt-PT"/>
        </w:rPr>
      </w:pPr>
      <w:r w:rsidRPr="0023662B">
        <w:rPr>
          <w:rFonts w:ascii="Slimbach LT" w:hAnsi="Slimbach LT" w:cs="Arial"/>
          <w:b/>
          <w:sz w:val="22"/>
          <w:szCs w:val="22"/>
          <w:lang w:val="pt-PT"/>
        </w:rPr>
        <w:t xml:space="preserve">Fotocredit: </w:t>
      </w:r>
      <w:r w:rsidRPr="0023662B">
        <w:rPr>
          <w:rFonts w:ascii="Slimbach LT" w:hAnsi="Slimbach LT" w:cs="Arial"/>
          <w:sz w:val="22"/>
          <w:szCs w:val="22"/>
          <w:lang w:val="pt-PT"/>
        </w:rPr>
        <w:t xml:space="preserve">PREFA/Croce </w:t>
      </w:r>
    </w:p>
    <w:p w:rsidR="00184570" w:rsidRPr="0023662B" w:rsidRDefault="00184570" w:rsidP="00184570">
      <w:pPr>
        <w:tabs>
          <w:tab w:val="left" w:pos="8520"/>
        </w:tabs>
        <w:autoSpaceDE w:val="0"/>
        <w:autoSpaceDN w:val="0"/>
        <w:adjustRightInd w:val="0"/>
        <w:ind w:right="-1"/>
        <w:jc w:val="both"/>
        <w:rPr>
          <w:rFonts w:ascii="Slimbach LT" w:hAnsi="Slimbach LT" w:cs="Arial"/>
          <w:sz w:val="22"/>
          <w:szCs w:val="22"/>
          <w:lang w:val="it-IT" w:eastAsia="ko-KR"/>
        </w:rPr>
      </w:pP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ko-KR"/>
        </w:rPr>
      </w:pPr>
      <w:r w:rsidRPr="0023662B">
        <w:rPr>
          <w:rFonts w:ascii="Slimbach LT" w:hAnsi="Slimbach LT" w:cs="Arial"/>
          <w:b/>
          <w:sz w:val="22"/>
          <w:szCs w:val="22"/>
          <w:lang w:val="it-IT" w:eastAsia="ko-KR"/>
        </w:rPr>
        <w:t>PREFA Italia Srl</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23662B">
        <w:rPr>
          <w:rFonts w:ascii="Slimbach LT" w:hAnsi="Slimbach LT" w:cs="Arial"/>
          <w:sz w:val="22"/>
          <w:szCs w:val="22"/>
          <w:lang w:val="it-IT" w:eastAsia="ko-KR"/>
        </w:rPr>
        <w:t>Via Negrelli, 23 – 39100 BOLZANO</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r w:rsidRPr="0023662B">
        <w:rPr>
          <w:rFonts w:ascii="Slimbach LT" w:hAnsi="Slimbach LT" w:cs="Arial"/>
          <w:sz w:val="22"/>
          <w:szCs w:val="22"/>
          <w:lang w:val="en-US" w:eastAsia="ko-KR"/>
        </w:rPr>
        <w:t>T. +39 0471 068680 - F: +39 0471 068690</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8" w:history="1">
        <w:r w:rsidRPr="0023662B">
          <w:rPr>
            <w:rFonts w:ascii="Slimbach LT" w:hAnsi="Slimbach LT" w:cs="Arial"/>
            <w:sz w:val="22"/>
            <w:szCs w:val="22"/>
            <w:lang w:val="en-US" w:eastAsia="ko-KR"/>
          </w:rPr>
          <w:t>office.it@prefa.com</w:t>
        </w:r>
      </w:hyperlink>
      <w:r w:rsidRPr="0023662B">
        <w:rPr>
          <w:rFonts w:ascii="Slimbach LT" w:hAnsi="Slimbach LT" w:cs="Arial"/>
          <w:sz w:val="22"/>
          <w:szCs w:val="22"/>
          <w:lang w:val="en-US" w:eastAsia="ko-KR"/>
        </w:rPr>
        <w:t xml:space="preserve"> </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en-US" w:eastAsia="ko-KR"/>
        </w:rPr>
      </w:pPr>
      <w:hyperlink r:id="rId9" w:history="1">
        <w:r w:rsidRPr="0023662B">
          <w:rPr>
            <w:rFonts w:ascii="Slimbach LT" w:hAnsi="Slimbach LT" w:cs="Arial"/>
            <w:sz w:val="22"/>
            <w:szCs w:val="22"/>
            <w:lang w:val="en-US" w:eastAsia="ko-KR"/>
          </w:rPr>
          <w:t>www.prefa.com</w:t>
        </w:r>
      </w:hyperlink>
    </w:p>
    <w:p w:rsidR="00184570" w:rsidRPr="002366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2366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b/>
          <w:i/>
          <w:sz w:val="22"/>
          <w:szCs w:val="22"/>
          <w:lang w:val="en-US" w:eastAsia="en-US"/>
        </w:rPr>
      </w:pPr>
    </w:p>
    <w:p w:rsidR="00184570" w:rsidRPr="0023662B" w:rsidRDefault="00184570" w:rsidP="00184570">
      <w:pPr>
        <w:tabs>
          <w:tab w:val="left" w:pos="8520"/>
        </w:tabs>
        <w:autoSpaceDE w:val="0"/>
        <w:autoSpaceDN w:val="0"/>
        <w:adjustRightInd w:val="0"/>
        <w:spacing w:line="276" w:lineRule="auto"/>
        <w:ind w:left="284" w:right="-1"/>
        <w:jc w:val="both"/>
        <w:rPr>
          <w:rFonts w:ascii="Slimbach LT" w:eastAsia="Calibri" w:hAnsi="Slimbach LT" w:cs="Arial"/>
          <w:sz w:val="22"/>
          <w:szCs w:val="22"/>
          <w:lang w:val="en-US" w:eastAsia="en-US"/>
        </w:rPr>
      </w:pPr>
      <w:r w:rsidRPr="0023662B">
        <w:rPr>
          <w:rFonts w:ascii="Slimbach LT" w:eastAsia="Calibri" w:hAnsi="Slimbach LT" w:cs="Arial"/>
          <w:b/>
          <w:i/>
          <w:sz w:val="22"/>
          <w:szCs w:val="22"/>
          <w:lang w:val="en-US" w:eastAsia="en-US"/>
        </w:rPr>
        <w:t>Press Contact</w:t>
      </w:r>
      <w:r w:rsidRPr="0023662B">
        <w:rPr>
          <w:rFonts w:ascii="Slimbach LT" w:eastAsia="Calibri" w:hAnsi="Slimbach LT" w:cs="Arial"/>
          <w:i/>
          <w:sz w:val="22"/>
          <w:szCs w:val="22"/>
          <w:lang w:val="en-US" w:eastAsia="en-US"/>
        </w:rPr>
        <w:t>:</w:t>
      </w:r>
      <w:r w:rsidRPr="0023662B">
        <w:rPr>
          <w:rFonts w:ascii="Slimbach LT" w:eastAsia="Calibri" w:hAnsi="Slimbach LT" w:cs="Arial"/>
          <w:sz w:val="22"/>
          <w:szCs w:val="22"/>
          <w:lang w:val="en-US" w:eastAsia="en-US"/>
        </w:rPr>
        <w:t xml:space="preserve"> </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23662B">
        <w:rPr>
          <w:rFonts w:ascii="Slimbach LT" w:hAnsi="Slimbach LT" w:cs="Arial"/>
          <w:b/>
          <w:color w:val="C00000"/>
          <w:sz w:val="22"/>
          <w:szCs w:val="22"/>
          <w:lang w:val="it-IT" w:eastAsia="ko-KR"/>
        </w:rPr>
        <w:t xml:space="preserve">DNART srl </w:t>
      </w:r>
      <w:r w:rsidRPr="0023662B">
        <w:rPr>
          <w:rFonts w:ascii="Slimbach LT" w:hAnsi="Slimbach LT" w:cs="Arial"/>
          <w:sz w:val="22"/>
          <w:szCs w:val="22"/>
          <w:lang w:val="it-IT" w:eastAsia="ko-KR"/>
        </w:rPr>
        <w:t xml:space="preserve">– </w:t>
      </w:r>
      <w:r w:rsidRPr="0023662B">
        <w:rPr>
          <w:rFonts w:ascii="Slimbach LT" w:hAnsi="Slimbach LT" w:cs="Arial"/>
          <w:b/>
          <w:sz w:val="22"/>
          <w:szCs w:val="22"/>
          <w:lang w:val="it-IT" w:eastAsia="ko-KR"/>
        </w:rPr>
        <w:t>Dott.ssa Chiara Consumi</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b/>
          <w:sz w:val="22"/>
          <w:szCs w:val="22"/>
          <w:lang w:val="it-IT" w:eastAsia="ar-SA"/>
        </w:rPr>
      </w:pPr>
      <w:r w:rsidRPr="0023662B">
        <w:rPr>
          <w:rFonts w:ascii="Slimbach LT" w:hAnsi="Slimbach LT" w:cs="Arial"/>
          <w:sz w:val="22"/>
          <w:szCs w:val="22"/>
          <w:lang w:val="it-IT" w:eastAsia="ko-KR"/>
        </w:rPr>
        <w:t>Via Mannelli 199 - 50132 FIRENZE</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sz w:val="22"/>
          <w:szCs w:val="22"/>
          <w:lang w:val="it-IT" w:eastAsia="ko-KR"/>
        </w:rPr>
      </w:pPr>
      <w:r w:rsidRPr="0023662B">
        <w:rPr>
          <w:rFonts w:ascii="Slimbach LT" w:hAnsi="Slimbach LT" w:cs="Arial"/>
          <w:sz w:val="22"/>
          <w:szCs w:val="22"/>
          <w:lang w:val="it-IT" w:eastAsia="ko-KR"/>
        </w:rPr>
        <w:t xml:space="preserve">tel. +39 055 55 20 650 </w:t>
      </w:r>
    </w:p>
    <w:p w:rsidR="00184570" w:rsidRPr="0023662B" w:rsidRDefault="00184570" w:rsidP="00184570">
      <w:pPr>
        <w:tabs>
          <w:tab w:val="left" w:pos="8520"/>
        </w:tabs>
        <w:autoSpaceDE w:val="0"/>
        <w:autoSpaceDN w:val="0"/>
        <w:adjustRightInd w:val="0"/>
        <w:spacing w:line="276" w:lineRule="auto"/>
        <w:ind w:left="284" w:right="-1"/>
        <w:jc w:val="both"/>
        <w:rPr>
          <w:rFonts w:ascii="Slimbach LT" w:hAnsi="Slimbach LT" w:cs="Arial"/>
          <w:color w:val="C00000"/>
          <w:sz w:val="22"/>
          <w:szCs w:val="22"/>
          <w:lang w:val="it-IT" w:eastAsia="ko-KR"/>
        </w:rPr>
      </w:pPr>
      <w:r w:rsidRPr="0023662B">
        <w:rPr>
          <w:rFonts w:ascii="Slimbach LT" w:hAnsi="Slimbach LT" w:cs="Arial"/>
          <w:color w:val="3399FF"/>
          <w:sz w:val="22"/>
          <w:szCs w:val="22"/>
          <w:lang w:val="it-IT" w:eastAsia="ko-KR"/>
        </w:rPr>
        <w:t>ufficiostampa@dnartstudio.it</w:t>
      </w:r>
      <w:r w:rsidRPr="0023662B">
        <w:rPr>
          <w:rFonts w:ascii="Slimbach LT" w:hAnsi="Slimbach LT" w:cs="Arial"/>
          <w:sz w:val="22"/>
          <w:szCs w:val="22"/>
          <w:lang w:val="it-IT" w:eastAsia="ko-KR"/>
        </w:rPr>
        <w:t xml:space="preserve"> - </w:t>
      </w:r>
      <w:r w:rsidRPr="0023662B">
        <w:rPr>
          <w:rFonts w:ascii="Slimbach LT" w:hAnsi="Slimbach LT" w:cs="Arial"/>
          <w:color w:val="C00000"/>
          <w:sz w:val="22"/>
          <w:szCs w:val="22"/>
          <w:lang w:val="it-IT" w:eastAsia="ko-KR"/>
        </w:rPr>
        <w:t>www.dnartstudio.it</w:t>
      </w:r>
    </w:p>
    <w:p w:rsidR="00A70A11" w:rsidRPr="0023662B" w:rsidRDefault="00A70A11" w:rsidP="00BE63C5">
      <w:pPr>
        <w:pStyle w:val="StandardWeb"/>
        <w:spacing w:line="360" w:lineRule="auto"/>
        <w:rPr>
          <w:rFonts w:ascii="Slimbach LT" w:hAnsi="Slimbach LT"/>
          <w:lang w:val="it-IT"/>
        </w:rPr>
      </w:pPr>
    </w:p>
    <w:sectPr w:rsidR="00A70A11" w:rsidRPr="0023662B" w:rsidSect="00CC6F22">
      <w:headerReference w:type="default" r:id="rId10"/>
      <w:footerReference w:type="default" r:id="rId11"/>
      <w:type w:val="continuous"/>
      <w:pgSz w:w="11907" w:h="16840" w:code="9"/>
      <w:pgMar w:top="1140" w:right="1225" w:bottom="408" w:left="958" w:header="488" w:footer="198" w:gutter="0"/>
      <w:paperSrc w:first="1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3CC" w:rsidRDefault="006853CC">
      <w:r>
        <w:separator/>
      </w:r>
    </w:p>
  </w:endnote>
  <w:endnote w:type="continuationSeparator" w:id="0">
    <w:p w:rsidR="006853CC" w:rsidRDefault="00685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limbach LT">
    <w:panose1 w:val="02000503060000020004"/>
    <w:charset w:val="00"/>
    <w:family w:val="auto"/>
    <w:pitch w:val="variable"/>
    <w:sig w:usb0="800000A7" w:usb1="00000040" w:usb2="00000000" w:usb3="00000000" w:csb0="00000009"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CondBlack">
    <w:panose1 w:val="020B0A06020101010102"/>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AMKZC V+ DIN Cond">
    <w:altName w:val="DIN Cond"/>
    <w:panose1 w:val="00000000000000000000"/>
    <w:charset w:val="00"/>
    <w:family w:val="swiss"/>
    <w:notTrueType/>
    <w:pitch w:val="default"/>
    <w:sig w:usb0="00000003" w:usb1="00000000" w:usb2="00000000" w:usb3="00000000" w:csb0="00000001" w:csb1="00000000"/>
  </w:font>
  <w:font w:name="CCELE R+ DIN Cond">
    <w:altName w:val="DIN 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D" w:rsidRDefault="00DC269D" w:rsidP="00CC6F22">
    <w:pPr>
      <w:pStyle w:val="Fuzeile"/>
      <w:tabs>
        <w:tab w:val="left" w:pos="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3CC" w:rsidRDefault="006853CC">
      <w:r>
        <w:separator/>
      </w:r>
    </w:p>
  </w:footnote>
  <w:footnote w:type="continuationSeparator" w:id="0">
    <w:p w:rsidR="006853CC" w:rsidRDefault="00685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2E" w:rsidRDefault="00DC269D" w:rsidP="00CC6F22">
    <w:pPr>
      <w:pStyle w:val="Kopfzeile"/>
      <w:tabs>
        <w:tab w:val="left" w:pos="200"/>
      </w:tabs>
      <w:ind w:left="-850"/>
    </w:pPr>
    <w:r>
      <w:t xml:space="preserve">               </w:t>
    </w:r>
    <w:r w:rsidR="00C94EBE">
      <w:rPr>
        <w:noProof/>
        <w:lang w:val="de-DE" w:eastAsia="de-DE"/>
      </w:rPr>
      <w:drawing>
        <wp:inline distT="0" distB="0" distL="0" distR="0">
          <wp:extent cx="3099435" cy="866775"/>
          <wp:effectExtent l="0" t="0" r="571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A47E2"/>
    <w:multiLevelType w:val="hybridMultilevel"/>
    <w:tmpl w:val="3F9CA6F8"/>
    <w:lvl w:ilvl="0" w:tplc="C596B556">
      <w:numFmt w:val="bullet"/>
      <w:lvlText w:val="-"/>
      <w:lvlJc w:val="left"/>
      <w:pPr>
        <w:ind w:left="600" w:hanging="360"/>
      </w:pPr>
      <w:rPr>
        <w:rFonts w:ascii="Slimbach LT" w:eastAsia="Times New Roman" w:hAnsi="Slimbach LT" w:cs="Arial"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 w15:restartNumberingAfterBreak="0">
    <w:nsid w:val="3E725BDE"/>
    <w:multiLevelType w:val="hybridMultilevel"/>
    <w:tmpl w:val="32B222E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470E2C40"/>
    <w:multiLevelType w:val="hybridMultilevel"/>
    <w:tmpl w:val="93F0F1DA"/>
    <w:lvl w:ilvl="0" w:tplc="181674C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6"/>
    <w:rsid w:val="00084E54"/>
    <w:rsid w:val="001435DA"/>
    <w:rsid w:val="00144B4D"/>
    <w:rsid w:val="001565A4"/>
    <w:rsid w:val="00156BED"/>
    <w:rsid w:val="00177374"/>
    <w:rsid w:val="00184570"/>
    <w:rsid w:val="00210154"/>
    <w:rsid w:val="0023662B"/>
    <w:rsid w:val="002507FC"/>
    <w:rsid w:val="00250A54"/>
    <w:rsid w:val="00272433"/>
    <w:rsid w:val="00280897"/>
    <w:rsid w:val="002B0CDC"/>
    <w:rsid w:val="002F689F"/>
    <w:rsid w:val="0031355A"/>
    <w:rsid w:val="00326246"/>
    <w:rsid w:val="00331837"/>
    <w:rsid w:val="00376818"/>
    <w:rsid w:val="00384463"/>
    <w:rsid w:val="003850A1"/>
    <w:rsid w:val="00433BCD"/>
    <w:rsid w:val="00477828"/>
    <w:rsid w:val="00491B57"/>
    <w:rsid w:val="004D254B"/>
    <w:rsid w:val="004F1CC3"/>
    <w:rsid w:val="005207FC"/>
    <w:rsid w:val="005560C7"/>
    <w:rsid w:val="005C1974"/>
    <w:rsid w:val="005D168B"/>
    <w:rsid w:val="005D270A"/>
    <w:rsid w:val="00623AB7"/>
    <w:rsid w:val="006559F9"/>
    <w:rsid w:val="006853CC"/>
    <w:rsid w:val="007022A8"/>
    <w:rsid w:val="007818E6"/>
    <w:rsid w:val="007E133B"/>
    <w:rsid w:val="007F0924"/>
    <w:rsid w:val="007F4972"/>
    <w:rsid w:val="00813291"/>
    <w:rsid w:val="00884E3D"/>
    <w:rsid w:val="008D07ED"/>
    <w:rsid w:val="009031BB"/>
    <w:rsid w:val="009275A6"/>
    <w:rsid w:val="00935690"/>
    <w:rsid w:val="00935F53"/>
    <w:rsid w:val="009B579D"/>
    <w:rsid w:val="00A70A11"/>
    <w:rsid w:val="00AD3BB8"/>
    <w:rsid w:val="00BA7F39"/>
    <w:rsid w:val="00BB06EC"/>
    <w:rsid w:val="00BE63C5"/>
    <w:rsid w:val="00C03C5F"/>
    <w:rsid w:val="00C17435"/>
    <w:rsid w:val="00C450AA"/>
    <w:rsid w:val="00C931E9"/>
    <w:rsid w:val="00C94EBE"/>
    <w:rsid w:val="00CC69C5"/>
    <w:rsid w:val="00CC6F22"/>
    <w:rsid w:val="00CD1CFD"/>
    <w:rsid w:val="00CE1043"/>
    <w:rsid w:val="00D44FF8"/>
    <w:rsid w:val="00D54357"/>
    <w:rsid w:val="00D85829"/>
    <w:rsid w:val="00DA59A6"/>
    <w:rsid w:val="00DC269D"/>
    <w:rsid w:val="00E02A31"/>
    <w:rsid w:val="00E773B0"/>
    <w:rsid w:val="00ED776B"/>
    <w:rsid w:val="00EE39A3"/>
    <w:rsid w:val="00F40A56"/>
    <w:rsid w:val="00F61D66"/>
    <w:rsid w:val="00FC222E"/>
    <w:rsid w:val="00FF4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A1DE14-CBC8-49EC-81E9-1BF1E68D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00"/>
      </w:tabs>
      <w:ind w:left="240"/>
      <w:jc w:val="both"/>
      <w:outlineLvl w:val="0"/>
    </w:pPr>
    <w:rPr>
      <w:rFonts w:ascii="DINOT-CondBlack" w:hAnsi="DINOT-CondBlack" w:cs="Arial"/>
      <w:b/>
      <w:sz w:val="22"/>
      <w:szCs w:val="22"/>
      <w:lang w:val="fr-FR"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lang w:val="it-IT" w:eastAsia="it-IT"/>
    </w:rPr>
  </w:style>
  <w:style w:type="paragraph" w:styleId="Fuzeile">
    <w:name w:val="footer"/>
    <w:basedOn w:val="Standard"/>
    <w:pPr>
      <w:tabs>
        <w:tab w:val="center" w:pos="4536"/>
        <w:tab w:val="right" w:pos="9072"/>
      </w:tabs>
    </w:pPr>
    <w:rPr>
      <w:lang w:val="it-IT" w:eastAsia="it-IT"/>
    </w:rPr>
  </w:style>
  <w:style w:type="character" w:styleId="Hyperlink">
    <w:name w:val="Hyperlink"/>
    <w:rPr>
      <w:color w:val="0000FF"/>
      <w:u w:val="single"/>
    </w:rPr>
  </w:style>
  <w:style w:type="paragraph" w:styleId="Textkrper">
    <w:name w:val="Body Text"/>
    <w:basedOn w:val="Standard"/>
    <w:pPr>
      <w:ind w:right="98"/>
      <w:jc w:val="both"/>
    </w:pPr>
    <w:rPr>
      <w:rFonts w:ascii="Arial" w:hAnsi="Arial"/>
      <w:szCs w:val="20"/>
      <w:lang w:val="it-IT" w:eastAsia="it-IT"/>
    </w:rPr>
  </w:style>
  <w:style w:type="paragraph" w:styleId="Sprechblasentext">
    <w:name w:val="Balloon Text"/>
    <w:basedOn w:val="Standard"/>
    <w:link w:val="SprechblasentextZchn"/>
    <w:rsid w:val="00250A54"/>
    <w:rPr>
      <w:rFonts w:ascii="Tahoma" w:hAnsi="Tahoma"/>
      <w:sz w:val="16"/>
      <w:szCs w:val="16"/>
    </w:rPr>
  </w:style>
  <w:style w:type="character" w:customStyle="1" w:styleId="SprechblasentextZchn">
    <w:name w:val="Sprechblasentext Zchn"/>
    <w:link w:val="Sprechblasentext"/>
    <w:rsid w:val="00250A54"/>
    <w:rPr>
      <w:rFonts w:ascii="Tahoma" w:hAnsi="Tahoma" w:cs="Tahoma"/>
      <w:sz w:val="16"/>
      <w:szCs w:val="16"/>
      <w:lang w:val="de-DE" w:eastAsia="de-DE"/>
    </w:rPr>
  </w:style>
  <w:style w:type="paragraph" w:styleId="Listenabsatz">
    <w:name w:val="List Paragraph"/>
    <w:basedOn w:val="Standard"/>
    <w:uiPriority w:val="34"/>
    <w:qFormat/>
    <w:rsid w:val="00F40A56"/>
    <w:pPr>
      <w:ind w:left="720"/>
    </w:pPr>
    <w:rPr>
      <w:rFonts w:ascii="Calibri" w:eastAsia="Calibri" w:hAnsi="Calibri" w:cs="Calibri"/>
      <w:sz w:val="22"/>
      <w:szCs w:val="22"/>
      <w:lang w:val="it-IT" w:eastAsia="it-IT"/>
    </w:rPr>
  </w:style>
  <w:style w:type="paragraph" w:styleId="StandardWeb">
    <w:name w:val="Normal (Web)"/>
    <w:basedOn w:val="Standard"/>
    <w:uiPriority w:val="99"/>
    <w:unhideWhenUsed/>
    <w:rsid w:val="00E773B0"/>
    <w:pPr>
      <w:spacing w:before="100" w:beforeAutospacing="1" w:after="100" w:afterAutospacing="1"/>
    </w:pPr>
  </w:style>
  <w:style w:type="character" w:styleId="Fett">
    <w:name w:val="Strong"/>
    <w:uiPriority w:val="22"/>
    <w:qFormat/>
    <w:rsid w:val="00E773B0"/>
    <w:rPr>
      <w:b/>
      <w:bCs/>
    </w:rPr>
  </w:style>
  <w:style w:type="character" w:styleId="Hervorhebung">
    <w:name w:val="Emphasis"/>
    <w:uiPriority w:val="20"/>
    <w:qFormat/>
    <w:rsid w:val="00CD1CFD"/>
    <w:rPr>
      <w:i/>
      <w:iCs/>
    </w:rPr>
  </w:style>
  <w:style w:type="paragraph" w:customStyle="1" w:styleId="KeinLeerraum1">
    <w:name w:val="Kein Leerraum1"/>
    <w:rsid w:val="005560C7"/>
    <w:rPr>
      <w:rFonts w:ascii="Calibri" w:hAnsi="Calibri"/>
      <w:sz w:val="22"/>
      <w:szCs w:val="22"/>
      <w:lang w:val="en-US" w:eastAsia="en-US"/>
    </w:rPr>
  </w:style>
  <w:style w:type="paragraph" w:customStyle="1" w:styleId="Pa4">
    <w:name w:val="Pa4"/>
    <w:basedOn w:val="Standard"/>
    <w:next w:val="Standard"/>
    <w:uiPriority w:val="99"/>
    <w:rsid w:val="00184570"/>
    <w:pPr>
      <w:autoSpaceDE w:val="0"/>
      <w:autoSpaceDN w:val="0"/>
      <w:adjustRightInd w:val="0"/>
      <w:spacing w:line="241" w:lineRule="atLeast"/>
    </w:pPr>
    <w:rPr>
      <w:rFonts w:ascii="AMKZC V+ DIN Cond" w:hAnsi="AMKZC V+ DIN Cond"/>
      <w:lang w:val="it-IT" w:eastAsia="it-IT"/>
    </w:rPr>
  </w:style>
  <w:style w:type="paragraph" w:customStyle="1" w:styleId="Default">
    <w:name w:val="Default"/>
    <w:rsid w:val="00184570"/>
    <w:pPr>
      <w:autoSpaceDE w:val="0"/>
      <w:autoSpaceDN w:val="0"/>
      <w:adjustRightInd w:val="0"/>
    </w:pPr>
    <w:rPr>
      <w:rFonts w:ascii="Slimbach LT" w:hAnsi="Slimbach LT" w:cs="Slimbach LT"/>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72">
      <w:bodyDiv w:val="1"/>
      <w:marLeft w:val="0"/>
      <w:marRight w:val="0"/>
      <w:marTop w:val="0"/>
      <w:marBottom w:val="0"/>
      <w:divBdr>
        <w:top w:val="none" w:sz="0" w:space="0" w:color="auto"/>
        <w:left w:val="none" w:sz="0" w:space="0" w:color="auto"/>
        <w:bottom w:val="none" w:sz="0" w:space="0" w:color="auto"/>
        <w:right w:val="none" w:sz="0" w:space="0" w:color="auto"/>
      </w:divBdr>
    </w:div>
    <w:div w:id="28996693">
      <w:bodyDiv w:val="1"/>
      <w:marLeft w:val="0"/>
      <w:marRight w:val="0"/>
      <w:marTop w:val="0"/>
      <w:marBottom w:val="0"/>
      <w:divBdr>
        <w:top w:val="none" w:sz="0" w:space="0" w:color="auto"/>
        <w:left w:val="none" w:sz="0" w:space="0" w:color="auto"/>
        <w:bottom w:val="none" w:sz="0" w:space="0" w:color="auto"/>
        <w:right w:val="none" w:sz="0" w:space="0" w:color="auto"/>
      </w:divBdr>
    </w:div>
    <w:div w:id="70352333">
      <w:bodyDiv w:val="1"/>
      <w:marLeft w:val="0"/>
      <w:marRight w:val="0"/>
      <w:marTop w:val="0"/>
      <w:marBottom w:val="0"/>
      <w:divBdr>
        <w:top w:val="none" w:sz="0" w:space="0" w:color="auto"/>
        <w:left w:val="none" w:sz="0" w:space="0" w:color="auto"/>
        <w:bottom w:val="none" w:sz="0" w:space="0" w:color="auto"/>
        <w:right w:val="none" w:sz="0" w:space="0" w:color="auto"/>
      </w:divBdr>
    </w:div>
    <w:div w:id="89199921">
      <w:bodyDiv w:val="1"/>
      <w:marLeft w:val="0"/>
      <w:marRight w:val="0"/>
      <w:marTop w:val="0"/>
      <w:marBottom w:val="0"/>
      <w:divBdr>
        <w:top w:val="none" w:sz="0" w:space="0" w:color="auto"/>
        <w:left w:val="none" w:sz="0" w:space="0" w:color="auto"/>
        <w:bottom w:val="none" w:sz="0" w:space="0" w:color="auto"/>
        <w:right w:val="none" w:sz="0" w:space="0" w:color="auto"/>
      </w:divBdr>
    </w:div>
    <w:div w:id="123154988">
      <w:bodyDiv w:val="1"/>
      <w:marLeft w:val="0"/>
      <w:marRight w:val="0"/>
      <w:marTop w:val="0"/>
      <w:marBottom w:val="0"/>
      <w:divBdr>
        <w:top w:val="none" w:sz="0" w:space="0" w:color="auto"/>
        <w:left w:val="none" w:sz="0" w:space="0" w:color="auto"/>
        <w:bottom w:val="none" w:sz="0" w:space="0" w:color="auto"/>
        <w:right w:val="none" w:sz="0" w:space="0" w:color="auto"/>
      </w:divBdr>
    </w:div>
    <w:div w:id="856038530">
      <w:bodyDiv w:val="1"/>
      <w:marLeft w:val="0"/>
      <w:marRight w:val="0"/>
      <w:marTop w:val="0"/>
      <w:marBottom w:val="0"/>
      <w:divBdr>
        <w:top w:val="none" w:sz="0" w:space="0" w:color="auto"/>
        <w:left w:val="none" w:sz="0" w:space="0" w:color="auto"/>
        <w:bottom w:val="none" w:sz="0" w:space="0" w:color="auto"/>
        <w:right w:val="none" w:sz="0" w:space="0" w:color="auto"/>
      </w:divBdr>
    </w:div>
    <w:div w:id="1199397664">
      <w:bodyDiv w:val="1"/>
      <w:marLeft w:val="0"/>
      <w:marRight w:val="0"/>
      <w:marTop w:val="0"/>
      <w:marBottom w:val="0"/>
      <w:divBdr>
        <w:top w:val="none" w:sz="0" w:space="0" w:color="auto"/>
        <w:left w:val="none" w:sz="0" w:space="0" w:color="auto"/>
        <w:bottom w:val="none" w:sz="0" w:space="0" w:color="auto"/>
        <w:right w:val="none" w:sz="0" w:space="0" w:color="auto"/>
      </w:divBdr>
    </w:div>
    <w:div w:id="1384209109">
      <w:bodyDiv w:val="1"/>
      <w:marLeft w:val="0"/>
      <w:marRight w:val="0"/>
      <w:marTop w:val="0"/>
      <w:marBottom w:val="0"/>
      <w:divBdr>
        <w:top w:val="none" w:sz="0" w:space="0" w:color="auto"/>
        <w:left w:val="none" w:sz="0" w:space="0" w:color="auto"/>
        <w:bottom w:val="none" w:sz="0" w:space="0" w:color="auto"/>
        <w:right w:val="none" w:sz="0" w:space="0" w:color="auto"/>
      </w:divBdr>
    </w:div>
    <w:div w:id="1385716433">
      <w:bodyDiv w:val="1"/>
      <w:marLeft w:val="0"/>
      <w:marRight w:val="0"/>
      <w:marTop w:val="0"/>
      <w:marBottom w:val="0"/>
      <w:divBdr>
        <w:top w:val="none" w:sz="0" w:space="0" w:color="auto"/>
        <w:left w:val="none" w:sz="0" w:space="0" w:color="auto"/>
        <w:bottom w:val="none" w:sz="0" w:space="0" w:color="auto"/>
        <w:right w:val="none" w:sz="0" w:space="0" w:color="auto"/>
      </w:divBdr>
    </w:div>
    <w:div w:id="1415855748">
      <w:bodyDiv w:val="1"/>
      <w:marLeft w:val="0"/>
      <w:marRight w:val="0"/>
      <w:marTop w:val="0"/>
      <w:marBottom w:val="0"/>
      <w:divBdr>
        <w:top w:val="none" w:sz="0" w:space="0" w:color="auto"/>
        <w:left w:val="none" w:sz="0" w:space="0" w:color="auto"/>
        <w:bottom w:val="none" w:sz="0" w:space="0" w:color="auto"/>
        <w:right w:val="none" w:sz="0" w:space="0" w:color="auto"/>
      </w:divBdr>
      <w:divsChild>
        <w:div w:id="1011880279">
          <w:marLeft w:val="0"/>
          <w:marRight w:val="0"/>
          <w:marTop w:val="0"/>
          <w:marBottom w:val="0"/>
          <w:divBdr>
            <w:top w:val="none" w:sz="0" w:space="0" w:color="auto"/>
            <w:left w:val="none" w:sz="0" w:space="0" w:color="auto"/>
            <w:bottom w:val="none" w:sz="0" w:space="0" w:color="auto"/>
            <w:right w:val="none" w:sz="0" w:space="0" w:color="auto"/>
          </w:divBdr>
          <w:divsChild>
            <w:div w:id="101416910">
              <w:marLeft w:val="0"/>
              <w:marRight w:val="0"/>
              <w:marTop w:val="0"/>
              <w:marBottom w:val="0"/>
              <w:divBdr>
                <w:top w:val="none" w:sz="0" w:space="0" w:color="auto"/>
                <w:left w:val="none" w:sz="0" w:space="0" w:color="auto"/>
                <w:bottom w:val="none" w:sz="0" w:space="0" w:color="auto"/>
                <w:right w:val="none" w:sz="0" w:space="0" w:color="auto"/>
              </w:divBdr>
              <w:divsChild>
                <w:div w:id="170880481">
                  <w:marLeft w:val="0"/>
                  <w:marRight w:val="0"/>
                  <w:marTop w:val="0"/>
                  <w:marBottom w:val="0"/>
                  <w:divBdr>
                    <w:top w:val="none" w:sz="0" w:space="0" w:color="auto"/>
                    <w:left w:val="none" w:sz="0" w:space="0" w:color="auto"/>
                    <w:bottom w:val="none" w:sz="0" w:space="0" w:color="auto"/>
                    <w:right w:val="none" w:sz="0" w:space="0" w:color="auto"/>
                  </w:divBdr>
                  <w:divsChild>
                    <w:div w:id="1118986734">
                      <w:marLeft w:val="0"/>
                      <w:marRight w:val="0"/>
                      <w:marTop w:val="0"/>
                      <w:marBottom w:val="0"/>
                      <w:divBdr>
                        <w:top w:val="none" w:sz="0" w:space="0" w:color="auto"/>
                        <w:left w:val="none" w:sz="0" w:space="0" w:color="auto"/>
                        <w:bottom w:val="none" w:sz="0" w:space="0" w:color="auto"/>
                        <w:right w:val="none" w:sz="0" w:space="0" w:color="auto"/>
                      </w:divBdr>
                      <w:divsChild>
                        <w:div w:id="524826633">
                          <w:marLeft w:val="0"/>
                          <w:marRight w:val="0"/>
                          <w:marTop w:val="0"/>
                          <w:marBottom w:val="0"/>
                          <w:divBdr>
                            <w:top w:val="none" w:sz="0" w:space="0" w:color="auto"/>
                            <w:left w:val="none" w:sz="0" w:space="0" w:color="auto"/>
                            <w:bottom w:val="none" w:sz="0" w:space="0" w:color="auto"/>
                            <w:right w:val="none" w:sz="0" w:space="0" w:color="auto"/>
                          </w:divBdr>
                          <w:divsChild>
                            <w:div w:id="693188593">
                              <w:marLeft w:val="0"/>
                              <w:marRight w:val="0"/>
                              <w:marTop w:val="0"/>
                              <w:marBottom w:val="0"/>
                              <w:divBdr>
                                <w:top w:val="none" w:sz="0" w:space="0" w:color="auto"/>
                                <w:left w:val="none" w:sz="0" w:space="0" w:color="auto"/>
                                <w:bottom w:val="none" w:sz="0" w:space="0" w:color="auto"/>
                                <w:right w:val="none" w:sz="0" w:space="0" w:color="auto"/>
                              </w:divBdr>
                              <w:divsChild>
                                <w:div w:id="5999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82">
                          <w:marLeft w:val="0"/>
                          <w:marRight w:val="0"/>
                          <w:marTop w:val="0"/>
                          <w:marBottom w:val="0"/>
                          <w:divBdr>
                            <w:top w:val="none" w:sz="0" w:space="0" w:color="auto"/>
                            <w:left w:val="none" w:sz="0" w:space="0" w:color="auto"/>
                            <w:bottom w:val="none" w:sz="0" w:space="0" w:color="auto"/>
                            <w:right w:val="none" w:sz="0" w:space="0" w:color="auto"/>
                          </w:divBdr>
                          <w:divsChild>
                            <w:div w:id="777990196">
                              <w:marLeft w:val="0"/>
                              <w:marRight w:val="0"/>
                              <w:marTop w:val="0"/>
                              <w:marBottom w:val="0"/>
                              <w:divBdr>
                                <w:top w:val="none" w:sz="0" w:space="0" w:color="auto"/>
                                <w:left w:val="none" w:sz="0" w:space="0" w:color="auto"/>
                                <w:bottom w:val="none" w:sz="0" w:space="0" w:color="auto"/>
                                <w:right w:val="none" w:sz="0" w:space="0" w:color="auto"/>
                              </w:divBdr>
                              <w:divsChild>
                                <w:div w:id="1298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511238">
      <w:bodyDiv w:val="1"/>
      <w:marLeft w:val="0"/>
      <w:marRight w:val="0"/>
      <w:marTop w:val="0"/>
      <w:marBottom w:val="0"/>
      <w:divBdr>
        <w:top w:val="none" w:sz="0" w:space="0" w:color="auto"/>
        <w:left w:val="none" w:sz="0" w:space="0" w:color="auto"/>
        <w:bottom w:val="none" w:sz="0" w:space="0" w:color="auto"/>
        <w:right w:val="none" w:sz="0" w:space="0" w:color="auto"/>
      </w:divBdr>
    </w:div>
    <w:div w:id="19136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it@pre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FC57-8C62-4A92-A075-32204C59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5771</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Bolzano, giovedì 7 ottobre 2010</vt:lpstr>
      <vt:lpstr>Bolzano, giovedì 7 ottobre 2010</vt:lpstr>
    </vt:vector>
  </TitlesOfParts>
  <Company>alpewa</Company>
  <LinksUpToDate>false</LinksUpToDate>
  <CharactersWithSpaces>6673</CharactersWithSpaces>
  <SharedDoc>false</SharedDoc>
  <HLinks>
    <vt:vector size="12" baseType="variant">
      <vt:variant>
        <vt:i4>5308421</vt:i4>
      </vt:variant>
      <vt:variant>
        <vt:i4>3</vt:i4>
      </vt:variant>
      <vt:variant>
        <vt:i4>0</vt:i4>
      </vt:variant>
      <vt:variant>
        <vt:i4>5</vt:i4>
      </vt:variant>
      <vt:variant>
        <vt:lpwstr>http://www.prefa.com/</vt:lpwstr>
      </vt:variant>
      <vt:variant>
        <vt:lpwstr/>
      </vt:variant>
      <vt:variant>
        <vt:i4>2621532</vt:i4>
      </vt:variant>
      <vt:variant>
        <vt:i4>0</vt:i4>
      </vt:variant>
      <vt:variant>
        <vt:i4>0</vt:i4>
      </vt:variant>
      <vt:variant>
        <vt:i4>5</vt:i4>
      </vt:variant>
      <vt:variant>
        <vt:lpwstr>mailto:office.it@prefa.com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Bolzano, giovedì 7 ottobre 2010</dc:title>
  <dc:subject/>
  <dc:creator>carcione</dc:creator>
  <cp:keywords/>
  <cp:lastModifiedBy>Rappel Julia</cp:lastModifiedBy>
  <cp:revision>2</cp:revision>
  <cp:lastPrinted>2015-07-02T13:40:00Z</cp:lastPrinted>
  <dcterms:created xsi:type="dcterms:W3CDTF">2016-06-24T05:19:00Z</dcterms:created>
  <dcterms:modified xsi:type="dcterms:W3CDTF">2016-06-24T05:19:00Z</dcterms:modified>
</cp:coreProperties>
</file>